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FBF06">
      <w:pPr>
        <w:pStyle w:val="15"/>
        <w:pageBreakBefore w:val="0"/>
        <w:tabs>
          <w:tab w:val="left" w:pos="3120"/>
        </w:tabs>
        <w:kinsoku/>
        <w:wordWrap/>
        <w:overflowPunct/>
        <w:topLinePunct w:val="0"/>
        <w:bidi w:val="0"/>
        <w:spacing w:beforeAutospacing="0" w:after="0" w:afterAutospacing="0" w:line="360" w:lineRule="auto"/>
        <w:textAlignment w:val="auto"/>
        <w:rPr>
          <w:rFonts w:ascii="Times New Roman" w:hAnsi="Times New Roman" w:cs="Times New Roman"/>
          <w:b/>
          <w:color w:val="auto"/>
          <w:spacing w:val="-2"/>
          <w:sz w:val="44"/>
          <w:szCs w:val="32"/>
          <w:lang w:val="en-US" w:eastAsia="zh-CN" w:bidi="ar-SA"/>
        </w:rPr>
      </w:pPr>
    </w:p>
    <w:p w14:paraId="603097C8">
      <w:pPr>
        <w:pStyle w:val="15"/>
        <w:pageBreakBefore w:val="0"/>
        <w:tabs>
          <w:tab w:val="left" w:pos="3120"/>
        </w:tabs>
        <w:kinsoku/>
        <w:wordWrap/>
        <w:overflowPunct/>
        <w:topLinePunct w:val="0"/>
        <w:bidi w:val="0"/>
        <w:spacing w:beforeAutospacing="0" w:after="0" w:afterAutospacing="0" w:line="360" w:lineRule="auto"/>
        <w:textAlignment w:val="auto"/>
        <w:rPr>
          <w:rFonts w:hint="eastAsia" w:ascii="Times New Roman" w:hAnsi="Times New Roman" w:cs="Times New Roman"/>
          <w:b/>
          <w:color w:val="auto"/>
          <w:spacing w:val="-2"/>
          <w:sz w:val="44"/>
          <w:szCs w:val="32"/>
          <w:lang w:val="en-US" w:eastAsia="zh-CN" w:bidi="ar-SA"/>
        </w:rPr>
      </w:pPr>
    </w:p>
    <w:p w14:paraId="69107545">
      <w:pPr>
        <w:pStyle w:val="15"/>
        <w:pageBreakBefore w:val="0"/>
        <w:tabs>
          <w:tab w:val="left" w:pos="3120"/>
        </w:tabs>
        <w:kinsoku/>
        <w:wordWrap/>
        <w:overflowPunct/>
        <w:topLinePunct w:val="0"/>
        <w:bidi w:val="0"/>
        <w:spacing w:beforeAutospacing="0" w:after="0" w:afterAutospacing="0" w:line="360" w:lineRule="auto"/>
        <w:textAlignment w:val="auto"/>
        <w:rPr>
          <w:rFonts w:ascii="Times New Roman" w:hAnsi="Times New Roman" w:cs="Times New Roman"/>
          <w:b/>
          <w:color w:val="auto"/>
          <w:spacing w:val="-2"/>
          <w:sz w:val="44"/>
          <w:szCs w:val="32"/>
          <w:lang w:val="en-US" w:eastAsia="zh-CN" w:bidi="ar-SA"/>
        </w:rPr>
      </w:pPr>
      <w:r>
        <w:rPr>
          <w:rFonts w:hint="eastAsia" w:ascii="Times New Roman" w:hAnsi="Times New Roman" w:cs="Times New Roman"/>
          <w:b/>
          <w:color w:val="auto"/>
          <w:spacing w:val="-2"/>
          <w:sz w:val="44"/>
          <w:szCs w:val="32"/>
          <w:lang w:val="en-US" w:eastAsia="zh-CN" w:bidi="ar-SA"/>
        </w:rPr>
        <w:t>凌源钢铁集团</w:t>
      </w:r>
      <w:r>
        <w:rPr>
          <w:rFonts w:ascii="Times New Roman" w:hAnsi="Times New Roman" w:cs="Times New Roman"/>
          <w:b/>
          <w:color w:val="auto"/>
          <w:spacing w:val="-2"/>
          <w:sz w:val="44"/>
          <w:szCs w:val="32"/>
          <w:lang w:val="en-US" w:eastAsia="zh-CN" w:bidi="ar-SA"/>
        </w:rPr>
        <w:t>有限</w:t>
      </w:r>
      <w:r>
        <w:rPr>
          <w:rFonts w:hint="eastAsia" w:ascii="Times New Roman" w:hAnsi="Times New Roman" w:cs="Times New Roman"/>
          <w:b/>
          <w:color w:val="auto"/>
          <w:spacing w:val="-2"/>
          <w:sz w:val="44"/>
          <w:szCs w:val="32"/>
          <w:lang w:val="en-US" w:eastAsia="zh-CN" w:bidi="ar-SA"/>
        </w:rPr>
        <w:t>责任</w:t>
      </w:r>
      <w:r>
        <w:rPr>
          <w:rFonts w:ascii="Times New Roman" w:hAnsi="Times New Roman" w:cs="Times New Roman"/>
          <w:b/>
          <w:color w:val="auto"/>
          <w:spacing w:val="-2"/>
          <w:sz w:val="44"/>
          <w:szCs w:val="32"/>
          <w:lang w:val="en-US" w:eastAsia="zh-CN" w:bidi="ar-SA"/>
        </w:rPr>
        <w:t>公司</w:t>
      </w:r>
    </w:p>
    <w:p w14:paraId="0AB2BD0C">
      <w:pPr>
        <w:pageBreakBefore w:val="0"/>
        <w:tabs>
          <w:tab w:val="center" w:pos="4680"/>
        </w:tabs>
        <w:suppressAutoHyphens/>
        <w:kinsoku/>
        <w:wordWrap/>
        <w:overflowPunct/>
        <w:topLinePunct w:val="0"/>
        <w:bidi w:val="0"/>
        <w:spacing w:beforeAutospacing="0" w:afterAutospacing="0" w:line="360" w:lineRule="auto"/>
        <w:jc w:val="center"/>
        <w:textAlignment w:val="auto"/>
        <w:rPr>
          <w:rFonts w:hint="eastAsia"/>
          <w:b/>
          <w:color w:val="auto"/>
          <w:spacing w:val="-2"/>
          <w:sz w:val="44"/>
          <w:szCs w:val="32"/>
          <w:lang w:val="en-US" w:eastAsia="zh-CN"/>
        </w:rPr>
      </w:pPr>
    </w:p>
    <w:p w14:paraId="637E928B">
      <w:pPr>
        <w:pageBreakBefore w:val="0"/>
        <w:tabs>
          <w:tab w:val="center" w:pos="4680"/>
        </w:tabs>
        <w:suppressAutoHyphens/>
        <w:kinsoku/>
        <w:wordWrap/>
        <w:overflowPunct/>
        <w:topLinePunct w:val="0"/>
        <w:bidi w:val="0"/>
        <w:spacing w:beforeAutospacing="0" w:afterAutospacing="0" w:line="360" w:lineRule="auto"/>
        <w:jc w:val="center"/>
        <w:textAlignment w:val="auto"/>
        <w:rPr>
          <w:rFonts w:hint="eastAsia"/>
          <w:b/>
          <w:color w:val="auto"/>
          <w:spacing w:val="-2"/>
          <w:sz w:val="44"/>
          <w:szCs w:val="32"/>
          <w:lang w:val="en-US" w:eastAsia="zh-CN"/>
        </w:rPr>
      </w:pPr>
      <w:r>
        <w:rPr>
          <w:rFonts w:hint="eastAsia"/>
          <w:b/>
          <w:color w:val="auto"/>
          <w:spacing w:val="-2"/>
          <w:sz w:val="44"/>
          <w:szCs w:val="32"/>
          <w:lang w:val="en-US" w:eastAsia="zh-CN"/>
        </w:rPr>
        <w:t>与</w:t>
      </w:r>
    </w:p>
    <w:p w14:paraId="3FEFFF22">
      <w:pPr>
        <w:pStyle w:val="2"/>
        <w:rPr>
          <w:rFonts w:hint="eastAsia"/>
          <w:b/>
          <w:color w:val="auto"/>
          <w:spacing w:val="-2"/>
          <w:sz w:val="44"/>
          <w:szCs w:val="32"/>
          <w:lang w:val="en-US" w:eastAsia="zh-CN"/>
        </w:rPr>
      </w:pPr>
    </w:p>
    <w:p w14:paraId="26142C68">
      <w:pPr>
        <w:pStyle w:val="2"/>
        <w:rPr>
          <w:rFonts w:hint="eastAsia"/>
          <w:b/>
          <w:color w:val="auto"/>
          <w:spacing w:val="-2"/>
          <w:sz w:val="44"/>
          <w:szCs w:val="32"/>
          <w:lang w:val="en-US" w:eastAsia="zh-CN"/>
        </w:rPr>
      </w:pPr>
    </w:p>
    <w:p w14:paraId="79E65ABA">
      <w:pPr>
        <w:pageBreakBefore w:val="0"/>
        <w:tabs>
          <w:tab w:val="center" w:pos="4680"/>
        </w:tabs>
        <w:suppressAutoHyphens/>
        <w:kinsoku/>
        <w:wordWrap/>
        <w:overflowPunct/>
        <w:topLinePunct w:val="0"/>
        <w:bidi w:val="0"/>
        <w:spacing w:beforeAutospacing="0" w:afterAutospacing="0" w:line="360" w:lineRule="auto"/>
        <w:jc w:val="center"/>
        <w:textAlignment w:val="auto"/>
        <w:rPr>
          <w:rFonts w:hint="eastAsia"/>
          <w:b/>
          <w:color w:val="auto"/>
          <w:spacing w:val="-2"/>
          <w:sz w:val="44"/>
          <w:szCs w:val="32"/>
          <w:lang w:val="en-US" w:eastAsia="zh-CN"/>
        </w:rPr>
      </w:pPr>
      <w:r>
        <w:rPr>
          <w:rFonts w:hint="eastAsia"/>
          <w:b/>
          <w:color w:val="auto"/>
          <w:spacing w:val="-2"/>
          <w:sz w:val="44"/>
          <w:szCs w:val="32"/>
          <w:lang w:val="en-US" w:eastAsia="zh-CN"/>
        </w:rPr>
        <w:t>****************</w:t>
      </w:r>
    </w:p>
    <w:p w14:paraId="7A848F1A">
      <w:pPr>
        <w:pStyle w:val="2"/>
        <w:rPr>
          <w:rFonts w:hint="default"/>
          <w:lang w:val="en-US" w:eastAsia="zh-CN"/>
        </w:rPr>
      </w:pPr>
    </w:p>
    <w:p w14:paraId="7E6C7303">
      <w:pPr>
        <w:pStyle w:val="15"/>
        <w:pageBreakBefore w:val="0"/>
        <w:tabs>
          <w:tab w:val="left" w:pos="3120"/>
        </w:tabs>
        <w:kinsoku/>
        <w:wordWrap/>
        <w:overflowPunct/>
        <w:topLinePunct w:val="0"/>
        <w:bidi w:val="0"/>
        <w:spacing w:beforeAutospacing="0" w:after="0" w:afterAutospacing="0" w:line="360" w:lineRule="auto"/>
        <w:textAlignment w:val="auto"/>
        <w:rPr>
          <w:rFonts w:hint="eastAsia" w:ascii="Times New Roman" w:hAnsi="Times New Roman" w:cs="Times New Roman"/>
          <w:b/>
          <w:color w:val="auto"/>
          <w:spacing w:val="-2"/>
          <w:sz w:val="44"/>
          <w:szCs w:val="32"/>
          <w:lang w:val="en-US" w:eastAsia="zh-CN" w:bidi="ar-SA"/>
        </w:rPr>
      </w:pPr>
    </w:p>
    <w:p w14:paraId="7A8AC655">
      <w:pPr>
        <w:pageBreakBefore w:val="0"/>
        <w:tabs>
          <w:tab w:val="center" w:pos="4680"/>
        </w:tabs>
        <w:suppressAutoHyphens/>
        <w:kinsoku/>
        <w:wordWrap/>
        <w:overflowPunct/>
        <w:topLinePunct w:val="0"/>
        <w:bidi w:val="0"/>
        <w:spacing w:beforeAutospacing="0" w:afterAutospacing="0" w:line="360" w:lineRule="auto"/>
        <w:jc w:val="center"/>
        <w:textAlignment w:val="auto"/>
        <w:rPr>
          <w:b/>
          <w:color w:val="auto"/>
          <w:spacing w:val="-2"/>
          <w:sz w:val="44"/>
          <w:szCs w:val="32"/>
        </w:rPr>
      </w:pPr>
    </w:p>
    <w:p w14:paraId="252D091E">
      <w:pPr>
        <w:pageBreakBefore w:val="0"/>
        <w:tabs>
          <w:tab w:val="center" w:pos="4680"/>
        </w:tabs>
        <w:suppressAutoHyphens/>
        <w:kinsoku/>
        <w:wordWrap/>
        <w:overflowPunct/>
        <w:topLinePunct w:val="0"/>
        <w:bidi w:val="0"/>
        <w:spacing w:beforeAutospacing="0" w:afterAutospacing="0" w:line="360" w:lineRule="auto"/>
        <w:jc w:val="center"/>
        <w:textAlignment w:val="auto"/>
        <w:rPr>
          <w:bCs/>
          <w:color w:val="auto"/>
          <w:spacing w:val="-2"/>
          <w:sz w:val="44"/>
          <w:szCs w:val="32"/>
        </w:rPr>
      </w:pPr>
    </w:p>
    <w:p w14:paraId="220E7FCF">
      <w:pPr>
        <w:pageBreakBefore w:val="0"/>
        <w:tabs>
          <w:tab w:val="left" w:pos="-720"/>
        </w:tabs>
        <w:suppressAutoHyphens/>
        <w:kinsoku/>
        <w:wordWrap/>
        <w:overflowPunct/>
        <w:topLinePunct w:val="0"/>
        <w:bidi w:val="0"/>
        <w:spacing w:beforeAutospacing="0" w:afterAutospacing="0" w:line="360" w:lineRule="auto"/>
        <w:jc w:val="center"/>
        <w:textAlignment w:val="auto"/>
        <w:rPr>
          <w:color w:val="auto"/>
          <w:spacing w:val="-2"/>
          <w:sz w:val="24"/>
          <w:szCs w:val="24"/>
        </w:rPr>
      </w:pPr>
    </w:p>
    <w:p w14:paraId="49B2FFEC">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32"/>
          <w:szCs w:val="32"/>
        </w:rPr>
      </w:pPr>
    </w:p>
    <w:p w14:paraId="3C6066AA">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44"/>
          <w:szCs w:val="32"/>
        </w:rPr>
      </w:pPr>
    </w:p>
    <w:p w14:paraId="04F98E40">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44"/>
          <w:szCs w:val="32"/>
        </w:rPr>
      </w:pPr>
    </w:p>
    <w:p w14:paraId="3E2BE801">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color w:val="auto"/>
          <w:spacing w:val="-2"/>
          <w:sz w:val="52"/>
          <w:szCs w:val="32"/>
        </w:rPr>
      </w:pPr>
      <w:r>
        <w:rPr>
          <w:rFonts w:hint="eastAsia"/>
          <w:b/>
          <w:bCs/>
          <w:color w:val="auto"/>
          <w:sz w:val="52"/>
          <w:szCs w:val="32"/>
          <w:lang w:val="en-US" w:eastAsia="zh-CN"/>
        </w:rPr>
        <w:t>公用工程介质</w:t>
      </w:r>
      <w:r>
        <w:rPr>
          <w:b/>
          <w:bCs/>
          <w:color w:val="auto"/>
          <w:sz w:val="52"/>
          <w:szCs w:val="32"/>
        </w:rPr>
        <w:t>供应合同</w:t>
      </w:r>
    </w:p>
    <w:p w14:paraId="0B3D2F2A">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b/>
          <w:bCs/>
          <w:color w:val="auto"/>
          <w:sz w:val="52"/>
          <w:szCs w:val="32"/>
        </w:rPr>
      </w:pPr>
    </w:p>
    <w:p w14:paraId="67B0B98D">
      <w:pPr>
        <w:pageBreakBefore w:val="0"/>
        <w:tabs>
          <w:tab w:val="left" w:pos="-720"/>
          <w:tab w:val="left" w:pos="2455"/>
          <w:tab w:val="center" w:pos="4819"/>
        </w:tabs>
        <w:suppressAutoHyphens/>
        <w:kinsoku/>
        <w:wordWrap/>
        <w:overflowPunct/>
        <w:topLinePunct w:val="0"/>
        <w:bidi w:val="0"/>
        <w:spacing w:beforeAutospacing="0" w:afterAutospacing="0" w:line="360" w:lineRule="auto"/>
        <w:jc w:val="center"/>
        <w:textAlignment w:val="auto"/>
        <w:rPr>
          <w:color w:val="auto"/>
          <w:spacing w:val="-2"/>
          <w:sz w:val="24"/>
          <w:szCs w:val="24"/>
        </w:rPr>
      </w:pPr>
    </w:p>
    <w:p w14:paraId="630E58EC">
      <w:pPr>
        <w:pageBreakBefore w:val="0"/>
        <w:tabs>
          <w:tab w:val="left" w:pos="-720"/>
        </w:tabs>
        <w:suppressAutoHyphens/>
        <w:kinsoku/>
        <w:wordWrap/>
        <w:overflowPunct/>
        <w:topLinePunct w:val="0"/>
        <w:bidi w:val="0"/>
        <w:spacing w:beforeAutospacing="0" w:afterAutospacing="0" w:line="360" w:lineRule="auto"/>
        <w:jc w:val="center"/>
        <w:textAlignment w:val="auto"/>
        <w:rPr>
          <w:b/>
          <w:bCs/>
          <w:color w:val="auto"/>
          <w:sz w:val="36"/>
          <w:szCs w:val="24"/>
        </w:rPr>
      </w:pPr>
    </w:p>
    <w:p w14:paraId="5C679499">
      <w:pPr>
        <w:pageBreakBefore w:val="0"/>
        <w:tabs>
          <w:tab w:val="left" w:pos="-720"/>
        </w:tabs>
        <w:suppressAutoHyphens/>
        <w:kinsoku/>
        <w:wordWrap/>
        <w:overflowPunct/>
        <w:topLinePunct w:val="0"/>
        <w:bidi w:val="0"/>
        <w:spacing w:beforeAutospacing="0" w:afterAutospacing="0" w:line="360" w:lineRule="auto"/>
        <w:jc w:val="center"/>
        <w:textAlignment w:val="auto"/>
        <w:rPr>
          <w:b/>
          <w:bCs/>
          <w:color w:val="auto"/>
          <w:sz w:val="36"/>
          <w:szCs w:val="24"/>
        </w:rPr>
      </w:pPr>
      <w:r>
        <w:rPr>
          <w:b/>
          <w:bCs/>
          <w:color w:val="auto"/>
          <w:sz w:val="36"/>
          <w:szCs w:val="24"/>
        </w:rPr>
        <w:t>二零二</w:t>
      </w:r>
      <w:r>
        <w:rPr>
          <w:rFonts w:hint="eastAsia"/>
          <w:b/>
          <w:bCs/>
          <w:color w:val="auto"/>
          <w:sz w:val="36"/>
          <w:szCs w:val="24"/>
          <w:lang w:val="en-US" w:eastAsia="zh-CN"/>
        </w:rPr>
        <w:t>*</w:t>
      </w:r>
      <w:r>
        <w:rPr>
          <w:b/>
          <w:bCs/>
          <w:color w:val="auto"/>
          <w:sz w:val="36"/>
          <w:szCs w:val="24"/>
        </w:rPr>
        <w:t>年</w:t>
      </w:r>
      <w:r>
        <w:rPr>
          <w:rFonts w:hint="eastAsia"/>
          <w:b/>
          <w:bCs/>
          <w:color w:val="auto"/>
          <w:sz w:val="36"/>
          <w:szCs w:val="24"/>
          <w:lang w:val="en-US" w:eastAsia="zh-CN"/>
        </w:rPr>
        <w:t>**</w:t>
      </w:r>
      <w:r>
        <w:rPr>
          <w:b/>
          <w:bCs/>
          <w:color w:val="auto"/>
          <w:sz w:val="36"/>
          <w:szCs w:val="24"/>
        </w:rPr>
        <w:t>月</w:t>
      </w:r>
    </w:p>
    <w:p w14:paraId="5DEC7D4B">
      <w:pPr>
        <w:pageBreakBefore w:val="0"/>
        <w:kinsoku/>
        <w:wordWrap/>
        <w:overflowPunct/>
        <w:topLinePunct w:val="0"/>
        <w:bidi w:val="0"/>
        <w:spacing w:beforeAutospacing="0" w:afterAutospacing="0" w:line="360" w:lineRule="auto"/>
        <w:textAlignment w:val="auto"/>
        <w:rPr>
          <w:b/>
          <w:color w:val="auto"/>
          <w:sz w:val="36"/>
          <w:szCs w:val="36"/>
        </w:rPr>
      </w:pPr>
    </w:p>
    <w:p w14:paraId="0E2F658C">
      <w:pPr>
        <w:pStyle w:val="2"/>
        <w:pageBreakBefore w:val="0"/>
        <w:kinsoku/>
        <w:wordWrap/>
        <w:overflowPunct/>
        <w:topLinePunct w:val="0"/>
        <w:bidi w:val="0"/>
        <w:spacing w:beforeAutospacing="0" w:afterAutospacing="0" w:line="360" w:lineRule="auto"/>
        <w:textAlignment w:val="auto"/>
        <w:rPr>
          <w:b/>
          <w:color w:val="auto"/>
          <w:sz w:val="36"/>
          <w:szCs w:val="36"/>
        </w:rPr>
      </w:pPr>
    </w:p>
    <w:sdt>
      <w:sdtPr>
        <w:rPr>
          <w:rFonts w:ascii="宋体" w:hAnsi="宋体" w:eastAsia="宋体" w:cstheme="minorBidi"/>
          <w:kern w:val="2"/>
          <w:sz w:val="21"/>
          <w:szCs w:val="24"/>
          <w:lang w:val="en-US" w:eastAsia="zh-CN" w:bidi="ar-SA"/>
        </w:rPr>
        <w:id w:val="147474283"/>
        <w:docPartObj>
          <w:docPartGallery w:val="Table of Contents"/>
          <w:docPartUnique/>
        </w:docPartObj>
      </w:sdtPr>
      <w:sdtEndPr>
        <w:rPr>
          <w:rFonts w:ascii="宋体" w:hAnsi="宋体" w:eastAsia="宋体" w:cstheme="minorBidi"/>
          <w:kern w:val="2"/>
          <w:sz w:val="20"/>
          <w:szCs w:val="20"/>
          <w:lang w:val="en-US" w:eastAsia="zh-CN" w:bidi="ar-SA"/>
        </w:rPr>
      </w:sdtEndPr>
      <w:sdtContent>
        <w:p w14:paraId="104B5B31">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bookmarkStart w:id="0" w:name="_Toc13263_WPSOffice_Type1"/>
          <w:r>
            <w:rPr>
              <w:rFonts w:hint="eastAsia" w:ascii="黑体" w:hAnsi="黑体" w:eastAsia="黑体" w:cs="黑体"/>
              <w:sz w:val="36"/>
              <w:szCs w:val="36"/>
            </w:rPr>
            <w:t>目录</w:t>
          </w:r>
        </w:p>
        <w:p w14:paraId="4E5BEFC9">
          <w:pPr>
            <w:pStyle w:val="23"/>
            <w:tabs>
              <w:tab w:val="right" w:leader="dot" w:pos="8306"/>
            </w:tabs>
            <w:rPr>
              <w:sz w:val="28"/>
              <w:szCs w:val="28"/>
            </w:rPr>
          </w:pPr>
          <w:r>
            <w:rPr>
              <w:sz w:val="28"/>
              <w:szCs w:val="28"/>
            </w:rPr>
            <w:fldChar w:fldCharType="begin"/>
          </w:r>
          <w:r>
            <w:rPr>
              <w:sz w:val="28"/>
              <w:szCs w:val="28"/>
            </w:rPr>
            <w:instrText xml:space="preserve"> HYPERLINK \l _Toc13263_WPSOffice_Level1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1459"/>
              <w:placeholder>
                <w:docPart w:val="{8da57129-5ec8-430f-9fb3-a82827a69ec8}"/>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 定义</w:t>
              </w:r>
            </w:sdtContent>
          </w:sdt>
          <w:r>
            <w:rPr>
              <w:sz w:val="28"/>
              <w:szCs w:val="28"/>
            </w:rPr>
            <w:tab/>
          </w:r>
          <w:bookmarkStart w:id="1" w:name="_Toc13263_WPSOffice_Level1Page"/>
          <w:r>
            <w:rPr>
              <w:sz w:val="28"/>
              <w:szCs w:val="28"/>
            </w:rPr>
            <w:t>1</w:t>
          </w:r>
          <w:bookmarkEnd w:id="1"/>
          <w:r>
            <w:rPr>
              <w:sz w:val="28"/>
              <w:szCs w:val="28"/>
            </w:rPr>
            <w:fldChar w:fldCharType="end"/>
          </w:r>
        </w:p>
        <w:p w14:paraId="61D09B1B">
          <w:pPr>
            <w:pStyle w:val="23"/>
            <w:tabs>
              <w:tab w:val="right" w:leader="dot" w:pos="8306"/>
            </w:tabs>
            <w:rPr>
              <w:sz w:val="28"/>
              <w:szCs w:val="28"/>
            </w:rPr>
          </w:pPr>
          <w:r>
            <w:rPr>
              <w:sz w:val="28"/>
              <w:szCs w:val="28"/>
            </w:rPr>
            <w:fldChar w:fldCharType="begin"/>
          </w:r>
          <w:r>
            <w:rPr>
              <w:sz w:val="28"/>
              <w:szCs w:val="28"/>
            </w:rPr>
            <w:instrText xml:space="preserve"> HYPERLINK \l _Toc5230_WPSOffice_Level1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58690"/>
              <w:placeholder>
                <w:docPart w:val="{6aa73c25-d098-4d57-ab64-edacf000081f}"/>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2公用工程介质供应条件</w:t>
              </w:r>
            </w:sdtContent>
          </w:sdt>
          <w:r>
            <w:rPr>
              <w:sz w:val="28"/>
              <w:szCs w:val="28"/>
            </w:rPr>
            <w:tab/>
          </w:r>
          <w:bookmarkStart w:id="2" w:name="_Toc5230_WPSOffice_Level1Page"/>
          <w:r>
            <w:rPr>
              <w:sz w:val="28"/>
              <w:szCs w:val="28"/>
            </w:rPr>
            <w:t>2</w:t>
          </w:r>
          <w:bookmarkEnd w:id="2"/>
          <w:r>
            <w:rPr>
              <w:sz w:val="28"/>
              <w:szCs w:val="28"/>
            </w:rPr>
            <w:fldChar w:fldCharType="end"/>
          </w:r>
        </w:p>
        <w:p w14:paraId="59554984">
          <w:pPr>
            <w:pStyle w:val="23"/>
            <w:tabs>
              <w:tab w:val="right" w:leader="dot" w:pos="8306"/>
            </w:tabs>
            <w:rPr>
              <w:sz w:val="28"/>
              <w:szCs w:val="28"/>
            </w:rPr>
          </w:pPr>
          <w:r>
            <w:rPr>
              <w:sz w:val="28"/>
              <w:szCs w:val="28"/>
            </w:rPr>
            <w:fldChar w:fldCharType="begin"/>
          </w:r>
          <w:r>
            <w:rPr>
              <w:sz w:val="28"/>
              <w:szCs w:val="28"/>
            </w:rPr>
            <w:instrText xml:space="preserve"> HYPERLINK \l _Toc12825_WPSOffice_Level1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4073"/>
              <w:placeholder>
                <w:docPart w:val="{e09792dc-760d-4938-8b39-82039e80f0ac}"/>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3 设施和公用工程</w:t>
              </w:r>
            </w:sdtContent>
          </w:sdt>
          <w:r>
            <w:rPr>
              <w:sz w:val="28"/>
              <w:szCs w:val="28"/>
            </w:rPr>
            <w:tab/>
          </w:r>
          <w:bookmarkStart w:id="3" w:name="_Toc12825_WPSOffice_Level1Page"/>
          <w:r>
            <w:rPr>
              <w:sz w:val="28"/>
              <w:szCs w:val="28"/>
            </w:rPr>
            <w:t>3</w:t>
          </w:r>
          <w:bookmarkEnd w:id="3"/>
          <w:r>
            <w:rPr>
              <w:sz w:val="28"/>
              <w:szCs w:val="28"/>
            </w:rPr>
            <w:fldChar w:fldCharType="end"/>
          </w:r>
        </w:p>
        <w:p w14:paraId="236C321E">
          <w:pPr>
            <w:pStyle w:val="23"/>
            <w:tabs>
              <w:tab w:val="right" w:leader="dot" w:pos="8306"/>
            </w:tabs>
            <w:rPr>
              <w:sz w:val="28"/>
              <w:szCs w:val="28"/>
            </w:rPr>
          </w:pPr>
          <w:r>
            <w:rPr>
              <w:sz w:val="28"/>
              <w:szCs w:val="28"/>
            </w:rPr>
            <w:fldChar w:fldCharType="begin"/>
          </w:r>
          <w:r>
            <w:rPr>
              <w:sz w:val="28"/>
              <w:szCs w:val="28"/>
            </w:rPr>
            <w:instrText xml:space="preserve"> HYPERLINK \l _Toc17650_WPSOffice_Level1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54991"/>
              <w:placeholder>
                <w:docPart w:val="{259706fa-33e7-49c4-a03a-ede5a2080be7}"/>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4 交接和质量</w:t>
              </w:r>
            </w:sdtContent>
          </w:sdt>
          <w:r>
            <w:rPr>
              <w:sz w:val="28"/>
              <w:szCs w:val="28"/>
            </w:rPr>
            <w:tab/>
          </w:r>
          <w:bookmarkStart w:id="4" w:name="_Toc17650_WPSOffice_Level1Page"/>
          <w:r>
            <w:rPr>
              <w:sz w:val="28"/>
              <w:szCs w:val="28"/>
            </w:rPr>
            <w:t>3</w:t>
          </w:r>
          <w:bookmarkEnd w:id="4"/>
          <w:r>
            <w:rPr>
              <w:sz w:val="28"/>
              <w:szCs w:val="28"/>
            </w:rPr>
            <w:fldChar w:fldCharType="end"/>
          </w:r>
        </w:p>
        <w:p w14:paraId="269D9CF6">
          <w:pPr>
            <w:pStyle w:val="23"/>
            <w:tabs>
              <w:tab w:val="right" w:leader="dot" w:pos="8306"/>
            </w:tabs>
            <w:rPr>
              <w:sz w:val="28"/>
              <w:szCs w:val="28"/>
            </w:rPr>
          </w:pPr>
          <w:r>
            <w:rPr>
              <w:sz w:val="28"/>
              <w:szCs w:val="28"/>
            </w:rPr>
            <w:fldChar w:fldCharType="begin"/>
          </w:r>
          <w:r>
            <w:rPr>
              <w:sz w:val="28"/>
              <w:szCs w:val="28"/>
            </w:rPr>
            <w:instrText xml:space="preserve"> HYPERLINK \l _Toc2445_WPSOffice_Level1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51659"/>
              <w:placeholder>
                <w:docPart w:val="{43125d00-3514-4031-b375-dea191e6d9ef}"/>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5 计量</w:t>
              </w:r>
            </w:sdtContent>
          </w:sdt>
          <w:r>
            <w:rPr>
              <w:sz w:val="28"/>
              <w:szCs w:val="28"/>
            </w:rPr>
            <w:tab/>
          </w:r>
          <w:bookmarkStart w:id="5" w:name="_Toc2445_WPSOffice_Level1Page"/>
          <w:r>
            <w:rPr>
              <w:sz w:val="28"/>
              <w:szCs w:val="28"/>
            </w:rPr>
            <w:t>3</w:t>
          </w:r>
          <w:bookmarkEnd w:id="5"/>
          <w:r>
            <w:rPr>
              <w:sz w:val="28"/>
              <w:szCs w:val="28"/>
            </w:rPr>
            <w:fldChar w:fldCharType="end"/>
          </w:r>
        </w:p>
        <w:p w14:paraId="0EE6C01B">
          <w:pPr>
            <w:pStyle w:val="23"/>
            <w:tabs>
              <w:tab w:val="right" w:leader="dot" w:pos="8306"/>
            </w:tabs>
            <w:rPr>
              <w:sz w:val="28"/>
              <w:szCs w:val="28"/>
            </w:rPr>
          </w:pPr>
          <w:r>
            <w:rPr>
              <w:sz w:val="28"/>
              <w:szCs w:val="28"/>
            </w:rPr>
            <w:fldChar w:fldCharType="begin"/>
          </w:r>
          <w:r>
            <w:rPr>
              <w:sz w:val="28"/>
              <w:szCs w:val="28"/>
            </w:rPr>
            <w:instrText xml:space="preserve"> HYPERLINK \l _Toc16952_WPSOffice_Level1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6826"/>
              <w:placeholder>
                <w:docPart w:val="{3f530698-bcee-4f72-8dc4-237d4d9542dd}"/>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6 价格</w:t>
              </w:r>
            </w:sdtContent>
          </w:sdt>
          <w:r>
            <w:rPr>
              <w:sz w:val="28"/>
              <w:szCs w:val="28"/>
            </w:rPr>
            <w:tab/>
          </w:r>
          <w:bookmarkStart w:id="6" w:name="_Toc16952_WPSOffice_Level1Page"/>
          <w:r>
            <w:rPr>
              <w:sz w:val="28"/>
              <w:szCs w:val="28"/>
            </w:rPr>
            <w:t>5</w:t>
          </w:r>
          <w:bookmarkEnd w:id="6"/>
          <w:r>
            <w:rPr>
              <w:sz w:val="28"/>
              <w:szCs w:val="28"/>
            </w:rPr>
            <w:fldChar w:fldCharType="end"/>
          </w:r>
        </w:p>
        <w:p w14:paraId="18062D4F">
          <w:pPr>
            <w:pStyle w:val="23"/>
            <w:tabs>
              <w:tab w:val="right" w:leader="dot" w:pos="8306"/>
            </w:tabs>
            <w:rPr>
              <w:sz w:val="28"/>
              <w:szCs w:val="28"/>
            </w:rPr>
          </w:pPr>
          <w:r>
            <w:rPr>
              <w:sz w:val="28"/>
              <w:szCs w:val="28"/>
            </w:rPr>
            <w:fldChar w:fldCharType="begin"/>
          </w:r>
          <w:r>
            <w:rPr>
              <w:sz w:val="28"/>
              <w:szCs w:val="28"/>
            </w:rPr>
            <w:instrText xml:space="preserve"> HYPERLINK \l _Toc19188_WPSOffice_Level1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0360"/>
              <w:placeholder>
                <w:docPart w:val="{bc10ea08-b2d6-4ccc-8477-20a7d9c0d1e5}"/>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7 价格调整</w:t>
              </w:r>
            </w:sdtContent>
          </w:sdt>
          <w:r>
            <w:rPr>
              <w:sz w:val="28"/>
              <w:szCs w:val="28"/>
            </w:rPr>
            <w:tab/>
          </w:r>
          <w:bookmarkStart w:id="7" w:name="_Toc19188_WPSOffice_Level1Page"/>
          <w:r>
            <w:rPr>
              <w:sz w:val="28"/>
              <w:szCs w:val="28"/>
            </w:rPr>
            <w:t>6</w:t>
          </w:r>
          <w:bookmarkEnd w:id="7"/>
          <w:r>
            <w:rPr>
              <w:sz w:val="28"/>
              <w:szCs w:val="28"/>
            </w:rPr>
            <w:fldChar w:fldCharType="end"/>
          </w:r>
        </w:p>
        <w:p w14:paraId="554CB98D">
          <w:pPr>
            <w:pStyle w:val="23"/>
            <w:tabs>
              <w:tab w:val="right" w:leader="dot" w:pos="8306"/>
            </w:tabs>
            <w:rPr>
              <w:sz w:val="28"/>
              <w:szCs w:val="28"/>
            </w:rPr>
          </w:pPr>
          <w:r>
            <w:rPr>
              <w:sz w:val="28"/>
              <w:szCs w:val="28"/>
            </w:rPr>
            <w:fldChar w:fldCharType="begin"/>
          </w:r>
          <w:r>
            <w:rPr>
              <w:sz w:val="28"/>
              <w:szCs w:val="28"/>
            </w:rPr>
            <w:instrText xml:space="preserve"> HYPERLINK \l _Toc1530_WPSOffice_Level1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7553"/>
              <w:placeholder>
                <w:docPart w:val="{fb54b1d0-7dcc-4fc7-afbd-aa98e284b467}"/>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8 结算与付款方式</w:t>
              </w:r>
            </w:sdtContent>
          </w:sdt>
          <w:r>
            <w:rPr>
              <w:sz w:val="28"/>
              <w:szCs w:val="28"/>
            </w:rPr>
            <w:tab/>
          </w:r>
          <w:bookmarkStart w:id="8" w:name="_Toc1530_WPSOffice_Level1Page"/>
          <w:r>
            <w:rPr>
              <w:sz w:val="28"/>
              <w:szCs w:val="28"/>
            </w:rPr>
            <w:t>6</w:t>
          </w:r>
          <w:bookmarkEnd w:id="8"/>
          <w:r>
            <w:rPr>
              <w:sz w:val="28"/>
              <w:szCs w:val="28"/>
            </w:rPr>
            <w:fldChar w:fldCharType="end"/>
          </w:r>
        </w:p>
        <w:p w14:paraId="73D44BCA">
          <w:pPr>
            <w:pStyle w:val="23"/>
            <w:tabs>
              <w:tab w:val="right" w:leader="dot" w:pos="8306"/>
            </w:tabs>
            <w:rPr>
              <w:sz w:val="28"/>
              <w:szCs w:val="28"/>
            </w:rPr>
          </w:pPr>
          <w:r>
            <w:rPr>
              <w:sz w:val="28"/>
              <w:szCs w:val="28"/>
            </w:rPr>
            <w:fldChar w:fldCharType="begin"/>
          </w:r>
          <w:r>
            <w:rPr>
              <w:sz w:val="28"/>
              <w:szCs w:val="28"/>
            </w:rPr>
            <w:instrText xml:space="preserve"> HYPERLINK \l _Toc19688_WPSOffice_Level1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4734"/>
              <w:placeholder>
                <w:docPart w:val="{ec864c57-40a8-45fa-a1d2-f8e5f87e7a9f}"/>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9 责任范围</w:t>
              </w:r>
            </w:sdtContent>
          </w:sdt>
          <w:r>
            <w:rPr>
              <w:sz w:val="28"/>
              <w:szCs w:val="28"/>
            </w:rPr>
            <w:tab/>
          </w:r>
          <w:bookmarkStart w:id="9" w:name="_Toc19688_WPSOffice_Level1Page"/>
          <w:r>
            <w:rPr>
              <w:sz w:val="28"/>
              <w:szCs w:val="28"/>
            </w:rPr>
            <w:t>6</w:t>
          </w:r>
          <w:bookmarkEnd w:id="9"/>
          <w:r>
            <w:rPr>
              <w:sz w:val="28"/>
              <w:szCs w:val="28"/>
            </w:rPr>
            <w:fldChar w:fldCharType="end"/>
          </w:r>
        </w:p>
        <w:p w14:paraId="09BCC1A7">
          <w:pPr>
            <w:pStyle w:val="23"/>
            <w:tabs>
              <w:tab w:val="right" w:leader="dot" w:pos="8306"/>
            </w:tabs>
            <w:rPr>
              <w:sz w:val="28"/>
              <w:szCs w:val="28"/>
            </w:rPr>
          </w:pPr>
          <w:r>
            <w:rPr>
              <w:sz w:val="28"/>
              <w:szCs w:val="28"/>
            </w:rPr>
            <w:fldChar w:fldCharType="begin"/>
          </w:r>
          <w:r>
            <w:rPr>
              <w:sz w:val="28"/>
              <w:szCs w:val="28"/>
            </w:rPr>
            <w:instrText xml:space="preserve"> HYPERLINK \l _Toc26891_WPSOffice_Level1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0698"/>
              <w:placeholder>
                <w:docPart w:val="{2fc60f7d-0bb4-4fee-baf1-a788e478269f}"/>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10 生产计划的制定与组织实施</w:t>
              </w:r>
            </w:sdtContent>
          </w:sdt>
          <w:r>
            <w:rPr>
              <w:sz w:val="28"/>
              <w:szCs w:val="28"/>
            </w:rPr>
            <w:tab/>
          </w:r>
          <w:bookmarkStart w:id="10" w:name="_Toc26891_WPSOffice_Level1Page"/>
          <w:r>
            <w:rPr>
              <w:sz w:val="28"/>
              <w:szCs w:val="28"/>
            </w:rPr>
            <w:t>7</w:t>
          </w:r>
          <w:bookmarkEnd w:id="10"/>
          <w:r>
            <w:rPr>
              <w:sz w:val="28"/>
              <w:szCs w:val="28"/>
            </w:rPr>
            <w:fldChar w:fldCharType="end"/>
          </w:r>
        </w:p>
        <w:p w14:paraId="071BF6F1">
          <w:pPr>
            <w:pStyle w:val="23"/>
            <w:tabs>
              <w:tab w:val="right" w:leader="dot" w:pos="8306"/>
            </w:tabs>
            <w:rPr>
              <w:sz w:val="28"/>
              <w:szCs w:val="28"/>
            </w:rPr>
          </w:pPr>
          <w:r>
            <w:rPr>
              <w:sz w:val="28"/>
              <w:szCs w:val="28"/>
            </w:rPr>
            <w:fldChar w:fldCharType="begin"/>
          </w:r>
          <w:r>
            <w:rPr>
              <w:sz w:val="28"/>
              <w:szCs w:val="28"/>
            </w:rPr>
            <w:instrText xml:space="preserve"> HYPERLINK \l _Toc30478_WPSOffice_Level1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9132"/>
              <w:placeholder>
                <w:docPart w:val="{cff19e49-ff92-471b-976e-5b75b9aa8920}"/>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11 保险</w:t>
              </w:r>
            </w:sdtContent>
          </w:sdt>
          <w:r>
            <w:rPr>
              <w:sz w:val="28"/>
              <w:szCs w:val="28"/>
            </w:rPr>
            <w:tab/>
          </w:r>
          <w:bookmarkStart w:id="11" w:name="_Toc30478_WPSOffice_Level1Page"/>
          <w:r>
            <w:rPr>
              <w:sz w:val="28"/>
              <w:szCs w:val="28"/>
            </w:rPr>
            <w:t>7</w:t>
          </w:r>
          <w:bookmarkEnd w:id="11"/>
          <w:r>
            <w:rPr>
              <w:sz w:val="28"/>
              <w:szCs w:val="28"/>
            </w:rPr>
            <w:fldChar w:fldCharType="end"/>
          </w:r>
        </w:p>
        <w:p w14:paraId="441D9D16">
          <w:pPr>
            <w:pStyle w:val="23"/>
            <w:tabs>
              <w:tab w:val="right" w:leader="dot" w:pos="8306"/>
            </w:tabs>
            <w:rPr>
              <w:sz w:val="28"/>
              <w:szCs w:val="28"/>
            </w:rPr>
          </w:pPr>
          <w:r>
            <w:rPr>
              <w:sz w:val="28"/>
              <w:szCs w:val="28"/>
            </w:rPr>
            <w:fldChar w:fldCharType="begin"/>
          </w:r>
          <w:r>
            <w:rPr>
              <w:sz w:val="28"/>
              <w:szCs w:val="28"/>
            </w:rPr>
            <w:instrText xml:space="preserve"> HYPERLINK \l _Toc17966_WPSOffice_Level1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3621"/>
              <w:placeholder>
                <w:docPart w:val="{6f9c12b7-f499-4940-a3aa-746a13b116d5}"/>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12合同期限</w:t>
              </w:r>
            </w:sdtContent>
          </w:sdt>
          <w:r>
            <w:rPr>
              <w:sz w:val="28"/>
              <w:szCs w:val="28"/>
            </w:rPr>
            <w:tab/>
          </w:r>
          <w:bookmarkStart w:id="12" w:name="_Toc17966_WPSOffice_Level1Page"/>
          <w:r>
            <w:rPr>
              <w:sz w:val="28"/>
              <w:szCs w:val="28"/>
            </w:rPr>
            <w:t>7</w:t>
          </w:r>
          <w:bookmarkEnd w:id="12"/>
          <w:r>
            <w:rPr>
              <w:sz w:val="28"/>
              <w:szCs w:val="28"/>
            </w:rPr>
            <w:fldChar w:fldCharType="end"/>
          </w:r>
        </w:p>
        <w:p w14:paraId="6AB80BA5">
          <w:pPr>
            <w:pStyle w:val="23"/>
            <w:tabs>
              <w:tab w:val="right" w:leader="dot" w:pos="8306"/>
            </w:tabs>
            <w:rPr>
              <w:sz w:val="28"/>
              <w:szCs w:val="28"/>
            </w:rPr>
          </w:pPr>
          <w:r>
            <w:rPr>
              <w:sz w:val="28"/>
              <w:szCs w:val="28"/>
            </w:rPr>
            <w:fldChar w:fldCharType="begin"/>
          </w:r>
          <w:r>
            <w:rPr>
              <w:sz w:val="28"/>
              <w:szCs w:val="28"/>
            </w:rPr>
            <w:instrText xml:space="preserve"> HYPERLINK \l _Toc19461_WPSOffice_Level1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8546"/>
              <w:placeholder>
                <w:docPart w:val="{ba61c40b-dae4-435f-b6fb-0d2277a07587}"/>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13不可抗力</w:t>
              </w:r>
            </w:sdtContent>
          </w:sdt>
          <w:r>
            <w:rPr>
              <w:sz w:val="28"/>
              <w:szCs w:val="28"/>
            </w:rPr>
            <w:tab/>
          </w:r>
          <w:bookmarkStart w:id="13" w:name="_Toc19461_WPSOffice_Level1Page"/>
          <w:r>
            <w:rPr>
              <w:sz w:val="28"/>
              <w:szCs w:val="28"/>
            </w:rPr>
            <w:t>7</w:t>
          </w:r>
          <w:bookmarkEnd w:id="13"/>
          <w:r>
            <w:rPr>
              <w:sz w:val="28"/>
              <w:szCs w:val="28"/>
            </w:rPr>
            <w:fldChar w:fldCharType="end"/>
          </w:r>
        </w:p>
        <w:p w14:paraId="71F78E0D">
          <w:pPr>
            <w:pStyle w:val="23"/>
            <w:tabs>
              <w:tab w:val="right" w:leader="dot" w:pos="8306"/>
            </w:tabs>
            <w:rPr>
              <w:sz w:val="28"/>
              <w:szCs w:val="28"/>
            </w:rPr>
          </w:pPr>
          <w:r>
            <w:rPr>
              <w:sz w:val="28"/>
              <w:szCs w:val="28"/>
            </w:rPr>
            <w:fldChar w:fldCharType="begin"/>
          </w:r>
          <w:r>
            <w:rPr>
              <w:sz w:val="28"/>
              <w:szCs w:val="28"/>
            </w:rPr>
            <w:instrText xml:space="preserve"> HYPERLINK \l _Toc17553_WPSOffice_Level1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70002"/>
              <w:placeholder>
                <w:docPart w:val="{fef966ea-04ec-4ad5-aba2-261d94fd53db}"/>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14通知</w:t>
              </w:r>
            </w:sdtContent>
          </w:sdt>
          <w:r>
            <w:rPr>
              <w:sz w:val="28"/>
              <w:szCs w:val="28"/>
            </w:rPr>
            <w:tab/>
          </w:r>
          <w:bookmarkStart w:id="14" w:name="_Toc17553_WPSOffice_Level1Page"/>
          <w:r>
            <w:rPr>
              <w:sz w:val="28"/>
              <w:szCs w:val="28"/>
            </w:rPr>
            <w:t>8</w:t>
          </w:r>
          <w:bookmarkEnd w:id="14"/>
          <w:r>
            <w:rPr>
              <w:sz w:val="28"/>
              <w:szCs w:val="28"/>
            </w:rPr>
            <w:fldChar w:fldCharType="end"/>
          </w:r>
        </w:p>
        <w:p w14:paraId="3EDDF670">
          <w:pPr>
            <w:pStyle w:val="23"/>
            <w:tabs>
              <w:tab w:val="right" w:leader="dot" w:pos="8306"/>
            </w:tabs>
            <w:rPr>
              <w:sz w:val="28"/>
              <w:szCs w:val="28"/>
            </w:rPr>
          </w:pPr>
          <w:r>
            <w:rPr>
              <w:sz w:val="28"/>
              <w:szCs w:val="28"/>
            </w:rPr>
            <w:fldChar w:fldCharType="begin"/>
          </w:r>
          <w:r>
            <w:rPr>
              <w:sz w:val="28"/>
              <w:szCs w:val="28"/>
            </w:rPr>
            <w:instrText xml:space="preserve"> HYPERLINK \l _Toc3299_WPSOffice_Level1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80793"/>
              <w:placeholder>
                <w:docPart w:val="{287b4736-1ead-4259-a762-e127df58fac1}"/>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15 保密</w:t>
              </w:r>
            </w:sdtContent>
          </w:sdt>
          <w:r>
            <w:rPr>
              <w:sz w:val="28"/>
              <w:szCs w:val="28"/>
            </w:rPr>
            <w:tab/>
          </w:r>
          <w:bookmarkStart w:id="15" w:name="_Toc3299_WPSOffice_Level1Page"/>
          <w:r>
            <w:rPr>
              <w:sz w:val="28"/>
              <w:szCs w:val="28"/>
            </w:rPr>
            <w:t>8</w:t>
          </w:r>
          <w:bookmarkEnd w:id="15"/>
          <w:r>
            <w:rPr>
              <w:sz w:val="28"/>
              <w:szCs w:val="28"/>
            </w:rPr>
            <w:fldChar w:fldCharType="end"/>
          </w:r>
        </w:p>
        <w:p w14:paraId="7A1D9F8D">
          <w:pPr>
            <w:pStyle w:val="23"/>
            <w:tabs>
              <w:tab w:val="right" w:leader="dot" w:pos="8306"/>
            </w:tabs>
            <w:rPr>
              <w:sz w:val="28"/>
              <w:szCs w:val="28"/>
            </w:rPr>
          </w:pPr>
          <w:r>
            <w:rPr>
              <w:sz w:val="28"/>
              <w:szCs w:val="28"/>
            </w:rPr>
            <w:fldChar w:fldCharType="begin"/>
          </w:r>
          <w:r>
            <w:rPr>
              <w:sz w:val="28"/>
              <w:szCs w:val="28"/>
            </w:rPr>
            <w:instrText xml:space="preserve"> HYPERLINK \l _Toc13100_WPSOffice_Level1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4992"/>
              <w:placeholder>
                <w:docPart w:val="{8abb6478-19ed-4be0-a1a6-2bf98aa0ce67}"/>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16 转让</w:t>
              </w:r>
            </w:sdtContent>
          </w:sdt>
          <w:r>
            <w:rPr>
              <w:sz w:val="28"/>
              <w:szCs w:val="28"/>
            </w:rPr>
            <w:tab/>
          </w:r>
          <w:bookmarkStart w:id="16" w:name="_Toc13100_WPSOffice_Level1Page"/>
          <w:r>
            <w:rPr>
              <w:sz w:val="28"/>
              <w:szCs w:val="28"/>
            </w:rPr>
            <w:t>9</w:t>
          </w:r>
          <w:bookmarkEnd w:id="16"/>
          <w:r>
            <w:rPr>
              <w:sz w:val="28"/>
              <w:szCs w:val="28"/>
            </w:rPr>
            <w:fldChar w:fldCharType="end"/>
          </w:r>
        </w:p>
        <w:p w14:paraId="5CEFB424">
          <w:pPr>
            <w:pStyle w:val="23"/>
            <w:tabs>
              <w:tab w:val="right" w:leader="dot" w:pos="8306"/>
            </w:tabs>
            <w:rPr>
              <w:sz w:val="28"/>
              <w:szCs w:val="28"/>
            </w:rPr>
          </w:pPr>
          <w:r>
            <w:rPr>
              <w:sz w:val="28"/>
              <w:szCs w:val="28"/>
            </w:rPr>
            <w:fldChar w:fldCharType="begin"/>
          </w:r>
          <w:r>
            <w:rPr>
              <w:sz w:val="28"/>
              <w:szCs w:val="28"/>
            </w:rPr>
            <w:instrText xml:space="preserve"> HYPERLINK \l _Toc27704_WPSOffice_Level1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4613"/>
              <w:placeholder>
                <w:docPart w:val="{450ab21a-6f93-4d4a-8be5-d64256c634e3}"/>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17 适用法律-管辖</w:t>
              </w:r>
            </w:sdtContent>
          </w:sdt>
          <w:r>
            <w:rPr>
              <w:sz w:val="28"/>
              <w:szCs w:val="28"/>
            </w:rPr>
            <w:tab/>
          </w:r>
          <w:bookmarkStart w:id="17" w:name="_Toc27704_WPSOffice_Level1Page"/>
          <w:r>
            <w:rPr>
              <w:sz w:val="28"/>
              <w:szCs w:val="28"/>
            </w:rPr>
            <w:t>9</w:t>
          </w:r>
          <w:bookmarkEnd w:id="17"/>
          <w:r>
            <w:rPr>
              <w:sz w:val="28"/>
              <w:szCs w:val="28"/>
            </w:rPr>
            <w:fldChar w:fldCharType="end"/>
          </w:r>
        </w:p>
        <w:p w14:paraId="047BD12D">
          <w:pPr>
            <w:pStyle w:val="23"/>
            <w:tabs>
              <w:tab w:val="right" w:leader="dot" w:pos="8306"/>
            </w:tabs>
            <w:rPr>
              <w:sz w:val="28"/>
              <w:szCs w:val="28"/>
            </w:rPr>
          </w:pPr>
          <w:r>
            <w:rPr>
              <w:sz w:val="28"/>
              <w:szCs w:val="28"/>
            </w:rPr>
            <w:fldChar w:fldCharType="begin"/>
          </w:r>
          <w:r>
            <w:rPr>
              <w:sz w:val="28"/>
              <w:szCs w:val="28"/>
            </w:rPr>
            <w:instrText xml:space="preserve"> HYPERLINK \l _Toc5837_WPSOffice_Level1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55834"/>
              <w:placeholder>
                <w:docPart w:val="{944928b8-9f6e-4705-b130-4693590eac81}"/>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18生效及其它</w:t>
              </w:r>
            </w:sdtContent>
          </w:sdt>
          <w:r>
            <w:rPr>
              <w:sz w:val="28"/>
              <w:szCs w:val="28"/>
            </w:rPr>
            <w:tab/>
          </w:r>
          <w:bookmarkStart w:id="18" w:name="_Toc5837_WPSOffice_Level1Page"/>
          <w:r>
            <w:rPr>
              <w:sz w:val="28"/>
              <w:szCs w:val="28"/>
            </w:rPr>
            <w:t>9</w:t>
          </w:r>
          <w:bookmarkEnd w:id="18"/>
          <w:r>
            <w:rPr>
              <w:sz w:val="28"/>
              <w:szCs w:val="28"/>
            </w:rPr>
            <w:fldChar w:fldCharType="end"/>
          </w:r>
        </w:p>
        <w:p w14:paraId="6759CF8C">
          <w:pPr>
            <w:pStyle w:val="23"/>
            <w:tabs>
              <w:tab w:val="right" w:leader="dot" w:pos="8306"/>
            </w:tabs>
            <w:rPr>
              <w:sz w:val="28"/>
              <w:szCs w:val="28"/>
            </w:rPr>
          </w:pPr>
          <w:r>
            <w:rPr>
              <w:sz w:val="28"/>
              <w:szCs w:val="28"/>
            </w:rPr>
            <w:fldChar w:fldCharType="begin"/>
          </w:r>
          <w:r>
            <w:rPr>
              <w:sz w:val="28"/>
              <w:szCs w:val="28"/>
            </w:rPr>
            <w:instrText xml:space="preserve"> HYPERLINK \l _Toc18833_WPSOffice_Level1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63813"/>
              <w:placeholder>
                <w:docPart w:val="{41c2dd5b-c8cc-4e3b-960f-c0810cd207d4}"/>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19 合同附录</w:t>
              </w:r>
            </w:sdtContent>
          </w:sdt>
          <w:r>
            <w:rPr>
              <w:sz w:val="28"/>
              <w:szCs w:val="28"/>
            </w:rPr>
            <w:tab/>
          </w:r>
          <w:bookmarkStart w:id="19" w:name="_Toc18833_WPSOffice_Level1Page"/>
          <w:r>
            <w:rPr>
              <w:sz w:val="28"/>
              <w:szCs w:val="28"/>
            </w:rPr>
            <w:t>9</w:t>
          </w:r>
          <w:bookmarkEnd w:id="19"/>
          <w:r>
            <w:rPr>
              <w:sz w:val="28"/>
              <w:szCs w:val="28"/>
            </w:rPr>
            <w:fldChar w:fldCharType="end"/>
          </w:r>
        </w:p>
        <w:p w14:paraId="4A722828">
          <w:pPr>
            <w:pStyle w:val="23"/>
            <w:tabs>
              <w:tab w:val="right" w:leader="dot" w:pos="8306"/>
            </w:tabs>
          </w:pPr>
          <w:r>
            <w:rPr>
              <w:sz w:val="28"/>
              <w:szCs w:val="28"/>
            </w:rPr>
            <w:fldChar w:fldCharType="begin"/>
          </w:r>
          <w:r>
            <w:rPr>
              <w:sz w:val="28"/>
              <w:szCs w:val="28"/>
            </w:rPr>
            <w:instrText xml:space="preserve"> HYPERLINK \l _Toc2157_WPSOffice_Level1 </w:instrText>
          </w:r>
          <w:r>
            <w:rPr>
              <w:sz w:val="28"/>
              <w:szCs w:val="28"/>
            </w:rPr>
            <w:fldChar w:fldCharType="separate"/>
          </w:r>
          <w:sdt>
            <w:sdtPr>
              <w:rPr>
                <w:rFonts w:asciiTheme="minorHAnsi" w:hAnsiTheme="minorHAnsi" w:eastAsiaTheme="minorEastAsia" w:cstheme="minorBidi"/>
                <w:kern w:val="2"/>
                <w:sz w:val="28"/>
                <w:szCs w:val="28"/>
                <w:lang w:val="en-US" w:eastAsia="zh-CN" w:bidi="ar-SA"/>
              </w:rPr>
              <w:id w:val="147459058"/>
              <w:placeholder>
                <w:docPart w:val="{723100a3-dd76-4d08-a379-8cafe5da109c}"/>
              </w:placeholder>
            </w:sdtPr>
            <w:sdtEndPr>
              <w:rPr>
                <w:rFonts w:asciiTheme="minorHAnsi" w:hAnsiTheme="minorHAnsi" w:eastAsiaTheme="minorEastAsia" w:cstheme="minorBidi"/>
                <w:kern w:val="2"/>
                <w:sz w:val="28"/>
                <w:szCs w:val="28"/>
                <w:lang w:val="en-US" w:eastAsia="zh-CN" w:bidi="ar-SA"/>
              </w:rPr>
            </w:sdtEndPr>
            <w:sdtContent>
              <w:r>
                <w:rPr>
                  <w:rFonts w:hint="eastAsia" w:ascii="宋体" w:hAnsi="宋体" w:eastAsia="宋体" w:cs="宋体"/>
                  <w:sz w:val="28"/>
                  <w:szCs w:val="28"/>
                </w:rPr>
                <w:t>附录一  双方相关建设内容的界定</w:t>
              </w:r>
            </w:sdtContent>
          </w:sdt>
          <w:r>
            <w:rPr>
              <w:sz w:val="28"/>
              <w:szCs w:val="28"/>
            </w:rPr>
            <w:tab/>
          </w:r>
          <w:bookmarkStart w:id="20" w:name="_Toc2157_WPSOffice_Level1Page"/>
          <w:r>
            <w:rPr>
              <w:sz w:val="28"/>
              <w:szCs w:val="28"/>
            </w:rPr>
            <w:t>11</w:t>
          </w:r>
          <w:bookmarkEnd w:id="20"/>
          <w:r>
            <w:rPr>
              <w:sz w:val="28"/>
              <w:szCs w:val="28"/>
            </w:rPr>
            <w:fldChar w:fldCharType="end"/>
          </w:r>
          <w:bookmarkEnd w:id="0"/>
        </w:p>
      </w:sdtContent>
    </w:sdt>
    <w:p w14:paraId="16C2927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lang w:val="fr-FR"/>
        </w:rPr>
      </w:pPr>
    </w:p>
    <w:p w14:paraId="11BEC0B0">
      <w:pPr>
        <w:pageBreakBefore w:val="0"/>
        <w:kinsoku/>
        <w:wordWrap/>
        <w:overflowPunct/>
        <w:topLinePunct w:val="0"/>
        <w:bidi w:val="0"/>
        <w:spacing w:beforeAutospacing="0" w:afterAutospacing="0" w:line="360" w:lineRule="auto"/>
        <w:textAlignment w:val="auto"/>
        <w:rPr>
          <w:color w:val="auto"/>
          <w:sz w:val="21"/>
          <w:szCs w:val="21"/>
          <w:u w:val="single"/>
        </w:rPr>
      </w:pPr>
    </w:p>
    <w:p w14:paraId="4F5E401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14:paraId="7A5DD2C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 xml:space="preserve">本合同由以下双方于 </w:t>
      </w:r>
      <w:r>
        <w:rPr>
          <w:rFonts w:hint="eastAsia" w:ascii="宋体" w:hAnsi="宋体" w:eastAsia="宋体" w:cs="宋体"/>
          <w:color w:val="auto"/>
          <w:sz w:val="28"/>
          <w:szCs w:val="28"/>
          <w:highlight w:val="yellow"/>
        </w:rPr>
        <w:t>202</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年</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月</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日</w:t>
      </w:r>
      <w:r>
        <w:rPr>
          <w:rFonts w:hint="eastAsia" w:ascii="宋体" w:hAnsi="宋体" w:eastAsia="宋体" w:cs="宋体"/>
          <w:color w:val="auto"/>
          <w:sz w:val="28"/>
          <w:szCs w:val="28"/>
        </w:rPr>
        <w:t>签订。</w:t>
      </w:r>
    </w:p>
    <w:p w14:paraId="1F6A10ED">
      <w:pPr>
        <w:pageBreakBefore w:val="0"/>
        <w:tabs>
          <w:tab w:val="center" w:pos="4680"/>
        </w:tabs>
        <w:suppressAutoHyphens/>
        <w:kinsoku/>
        <w:wordWrap/>
        <w:overflowPunct/>
        <w:topLinePunct w:val="0"/>
        <w:bidi w:val="0"/>
        <w:spacing w:beforeAutospacing="0" w:afterAutospacing="0" w:line="360" w:lineRule="auto"/>
        <w:textAlignment w:val="auto"/>
        <w:rPr>
          <w:rFonts w:hint="eastAsia" w:ascii="宋体" w:hAnsi="宋体" w:eastAsia="宋体" w:cs="宋体"/>
          <w:sz w:val="28"/>
          <w:szCs w:val="28"/>
          <w:lang w:val="zh-CN"/>
        </w:rPr>
      </w:pPr>
      <w:r>
        <w:rPr>
          <w:rFonts w:hint="eastAsia" w:ascii="宋体" w:hAnsi="宋体" w:eastAsia="宋体" w:cs="宋体"/>
          <w:color w:val="auto"/>
          <w:sz w:val="28"/>
          <w:szCs w:val="28"/>
          <w:lang w:val="en-US" w:eastAsia="zh-CN"/>
        </w:rPr>
        <w:t>甲方：凌源钢铁集团有限责任</w:t>
      </w:r>
      <w:r>
        <w:rPr>
          <w:rFonts w:hint="eastAsia" w:ascii="宋体" w:hAnsi="宋体" w:eastAsia="宋体" w:cs="宋体"/>
          <w:color w:val="auto"/>
          <w:sz w:val="28"/>
          <w:szCs w:val="28"/>
        </w:rPr>
        <w:t>公司</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注册</w:t>
      </w:r>
      <w:r>
        <w:rPr>
          <w:rFonts w:hint="eastAsia" w:ascii="宋体" w:hAnsi="宋体" w:eastAsia="宋体" w:cs="宋体"/>
          <w:color w:val="auto"/>
          <w:sz w:val="28"/>
          <w:szCs w:val="28"/>
        </w:rPr>
        <w:t>地址</w:t>
      </w:r>
      <w:r>
        <w:rPr>
          <w:rFonts w:hint="eastAsia" w:ascii="宋体" w:hAnsi="宋体" w:eastAsia="宋体" w:cs="宋体"/>
          <w:color w:val="auto"/>
          <w:sz w:val="28"/>
          <w:szCs w:val="28"/>
          <w:lang w:val="en-US" w:eastAsia="zh-CN"/>
        </w:rPr>
        <w:t>辽宁省凌源市钢铁路3</w:t>
      </w:r>
      <w:r>
        <w:rPr>
          <w:rFonts w:hint="eastAsia" w:ascii="宋体" w:hAnsi="宋体" w:eastAsia="宋体" w:cs="宋体"/>
          <w:color w:val="auto"/>
          <w:sz w:val="28"/>
          <w:szCs w:val="28"/>
        </w:rPr>
        <w:t xml:space="preserve">号。 </w:t>
      </w:r>
      <w:r>
        <w:rPr>
          <w:rFonts w:hint="eastAsia" w:ascii="宋体" w:hAnsi="宋体" w:eastAsia="宋体" w:cs="宋体"/>
          <w:sz w:val="28"/>
          <w:szCs w:val="28"/>
          <w:lang w:val="zh-CN"/>
        </w:rPr>
        <w:t xml:space="preserve"> </w:t>
      </w:r>
    </w:p>
    <w:p w14:paraId="615BE1B2">
      <w:pPr>
        <w:pageBreakBefore w:val="0"/>
        <w:tabs>
          <w:tab w:val="center" w:pos="4680"/>
        </w:tabs>
        <w:suppressAutoHyphens/>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highlight w:val="yellow"/>
        </w:rPr>
      </w:pPr>
      <w:r>
        <w:rPr>
          <w:rFonts w:hint="eastAsia" w:ascii="宋体" w:hAnsi="宋体" w:eastAsia="宋体" w:cs="宋体"/>
          <w:sz w:val="28"/>
          <w:szCs w:val="28"/>
          <w:lang w:val="zh-CN"/>
        </w:rPr>
        <w:t xml:space="preserve"> </w:t>
      </w:r>
      <w:r>
        <w:rPr>
          <w:rFonts w:hint="eastAsia" w:ascii="宋体" w:hAnsi="宋体" w:eastAsia="宋体" w:cs="宋体"/>
          <w:color w:val="auto"/>
          <w:sz w:val="28"/>
          <w:szCs w:val="28"/>
          <w:highlight w:val="yellow"/>
          <w:lang w:val="en-US" w:eastAsia="zh-CN"/>
        </w:rPr>
        <w:t>乙方：*******************，注册</w:t>
      </w:r>
      <w:r>
        <w:rPr>
          <w:rFonts w:hint="eastAsia" w:ascii="宋体" w:hAnsi="宋体" w:eastAsia="宋体" w:cs="宋体"/>
          <w:color w:val="auto"/>
          <w:sz w:val="28"/>
          <w:szCs w:val="28"/>
          <w:highlight w:val="yellow"/>
        </w:rPr>
        <w:t>地址</w:t>
      </w:r>
      <w:r>
        <w:rPr>
          <w:rFonts w:hint="eastAsia" w:ascii="宋体" w:hAnsi="宋体" w:eastAsia="宋体" w:cs="宋体"/>
          <w:color w:val="auto"/>
          <w:sz w:val="28"/>
          <w:szCs w:val="28"/>
          <w:highlight w:val="yellow"/>
          <w:lang w:val="en-US" w:eastAsia="zh-CN"/>
        </w:rPr>
        <w:t>****************</w:t>
      </w:r>
      <w:r>
        <w:rPr>
          <w:rFonts w:hint="eastAsia" w:ascii="宋体" w:hAnsi="宋体" w:eastAsia="宋体" w:cs="宋体"/>
          <w:color w:val="auto"/>
          <w:sz w:val="28"/>
          <w:szCs w:val="28"/>
          <w:highlight w:val="yellow"/>
        </w:rPr>
        <w:t>。</w:t>
      </w:r>
      <w:r>
        <w:rPr>
          <w:rFonts w:hint="eastAsia" w:ascii="宋体" w:hAnsi="宋体" w:eastAsia="宋体" w:cs="宋体"/>
          <w:sz w:val="28"/>
          <w:szCs w:val="28"/>
          <w:highlight w:val="yellow"/>
          <w:lang w:val="zh-CN"/>
        </w:rPr>
        <w:t xml:space="preserve"> </w:t>
      </w:r>
    </w:p>
    <w:p w14:paraId="466148AF">
      <w:pPr>
        <w:pageBreakBefore w:val="0"/>
        <w:tabs>
          <w:tab w:val="left" w:pos="9000"/>
        </w:tabs>
        <w:kinsoku/>
        <w:wordWrap/>
        <w:overflowPunct/>
        <w:topLinePunct w:val="0"/>
        <w:bidi w:val="0"/>
        <w:spacing w:beforeAutospacing="0" w:afterAutospacing="0" w:line="360" w:lineRule="auto"/>
        <w:ind w:right="-1"/>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w:t>
      </w:r>
      <w:r>
        <w:rPr>
          <w:rFonts w:hint="eastAsia" w:ascii="宋体" w:hAnsi="宋体" w:eastAsia="宋体" w:cs="宋体"/>
          <w:color w:val="auto"/>
          <w:sz w:val="28"/>
          <w:szCs w:val="28"/>
          <w:lang w:val="en-US" w:eastAsia="zh-CN"/>
        </w:rPr>
        <w:t>方和</w:t>
      </w:r>
      <w:r>
        <w:rPr>
          <w:rFonts w:hint="eastAsia" w:ascii="宋体" w:hAnsi="宋体" w:eastAsia="宋体" w:cs="宋体"/>
          <w:color w:val="auto"/>
          <w:sz w:val="28"/>
          <w:szCs w:val="28"/>
        </w:rPr>
        <w:t>乙</w:t>
      </w:r>
      <w:r>
        <w:rPr>
          <w:rFonts w:hint="eastAsia" w:ascii="宋体" w:hAnsi="宋体" w:eastAsia="宋体" w:cs="宋体"/>
          <w:color w:val="auto"/>
          <w:sz w:val="28"/>
          <w:szCs w:val="28"/>
          <w:lang w:val="en-US" w:eastAsia="zh-CN"/>
        </w:rPr>
        <w:t>方以下合称</w:t>
      </w:r>
      <w:r>
        <w:rPr>
          <w:rFonts w:hint="eastAsia" w:ascii="宋体" w:hAnsi="宋体" w:eastAsia="宋体" w:cs="宋体"/>
          <w:color w:val="auto"/>
          <w:sz w:val="28"/>
          <w:szCs w:val="28"/>
        </w:rPr>
        <w:t>“双方”</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单称“一方”</w:t>
      </w:r>
      <w:r>
        <w:rPr>
          <w:rFonts w:hint="eastAsia" w:ascii="宋体" w:hAnsi="宋体" w:eastAsia="宋体" w:cs="宋体"/>
          <w:color w:val="auto"/>
          <w:sz w:val="28"/>
          <w:szCs w:val="28"/>
          <w:lang w:val="en-US" w:eastAsia="zh-CN"/>
        </w:rPr>
        <w:t>或“另一方”</w:t>
      </w:r>
    </w:p>
    <w:p w14:paraId="1679730B">
      <w:pPr>
        <w:pageBreakBefore w:val="0"/>
        <w:tabs>
          <w:tab w:val="left" w:pos="9000"/>
        </w:tabs>
        <w:kinsoku/>
        <w:wordWrap/>
        <w:overflowPunct/>
        <w:topLinePunct w:val="0"/>
        <w:bidi w:val="0"/>
        <w:spacing w:beforeAutospacing="0" w:afterAutospacing="0" w:line="360" w:lineRule="auto"/>
        <w:ind w:right="-1"/>
        <w:textAlignment w:val="auto"/>
        <w:rPr>
          <w:rFonts w:hint="eastAsia" w:ascii="宋体" w:hAnsi="宋体" w:eastAsia="宋体" w:cs="宋体"/>
          <w:b/>
          <w:color w:val="auto"/>
          <w:sz w:val="28"/>
          <w:szCs w:val="28"/>
        </w:rPr>
      </w:pPr>
      <w:bookmarkStart w:id="21" w:name="_Toc10727_WPSOffice_Level1"/>
      <w:r>
        <w:rPr>
          <w:rFonts w:hint="eastAsia" w:ascii="宋体" w:hAnsi="宋体" w:eastAsia="宋体" w:cs="宋体"/>
          <w:b/>
          <w:color w:val="auto"/>
          <w:sz w:val="28"/>
          <w:szCs w:val="28"/>
        </w:rPr>
        <w:t>鉴于</w:t>
      </w:r>
      <w:bookmarkEnd w:id="21"/>
    </w:p>
    <w:p w14:paraId="57600AE6">
      <w:pPr>
        <w:pageBreakBefore w:val="0"/>
        <w:numPr>
          <w:ilvl w:val="0"/>
          <w:numId w:val="0"/>
        </w:numPr>
        <w:kinsoku/>
        <w:wordWrap/>
        <w:overflowPunct/>
        <w:topLinePunct w:val="0"/>
        <w:bidi w:val="0"/>
        <w:spacing w:beforeAutospacing="0" w:afterAutospacing="0" w:line="360" w:lineRule="auto"/>
        <w:ind w:leftChars="0" w:right="-1" w:righ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甲方为乙方提供公用工程介质水、电、蒸汽等，</w:t>
      </w:r>
      <w:r>
        <w:rPr>
          <w:rFonts w:hint="eastAsia" w:ascii="宋体" w:hAnsi="宋体" w:eastAsia="宋体" w:cs="宋体"/>
          <w:color w:val="auto"/>
          <w:sz w:val="28"/>
          <w:szCs w:val="28"/>
        </w:rPr>
        <w:t>保证</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rPr>
        <w:t>生产设施长期、高效、稳定运行。为明确双方的权利和义务，特此签订本合同。</w:t>
      </w:r>
    </w:p>
    <w:p w14:paraId="1C4A3EE5">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22" w:name="_Toc28741"/>
      <w:bookmarkStart w:id="23" w:name="_Toc234743702"/>
      <w:bookmarkStart w:id="24" w:name="_Toc234727373"/>
      <w:bookmarkStart w:id="25" w:name="_Toc3720"/>
      <w:bookmarkStart w:id="26" w:name="_Toc20287"/>
      <w:bookmarkStart w:id="27" w:name="_Toc234805796"/>
      <w:bookmarkStart w:id="28" w:name="_Toc225674124"/>
      <w:bookmarkStart w:id="29" w:name="_Toc24065829"/>
      <w:bookmarkStart w:id="30" w:name="_Toc234805272"/>
      <w:bookmarkStart w:id="31" w:name="_Toc234745074"/>
      <w:bookmarkStart w:id="32" w:name="_Toc234727175"/>
      <w:bookmarkStart w:id="33" w:name="_Toc225655414"/>
      <w:bookmarkStart w:id="34" w:name="_Toc234743153"/>
      <w:bookmarkStart w:id="35" w:name="_Toc225655129"/>
      <w:bookmarkStart w:id="36" w:name="_Toc234584395"/>
      <w:bookmarkStart w:id="37" w:name="_Toc234743088"/>
      <w:bookmarkStart w:id="38" w:name="_Toc30449"/>
      <w:bookmarkStart w:id="39" w:name="_Toc25025"/>
      <w:bookmarkStart w:id="40" w:name="_Toc13263_WPSOffice_Level1"/>
      <w:r>
        <w:rPr>
          <w:rStyle w:val="14"/>
          <w:rFonts w:hint="eastAsia" w:ascii="宋体" w:hAnsi="宋体" w:eastAsia="宋体" w:cs="宋体"/>
          <w:b/>
          <w:color w:val="auto"/>
          <w:sz w:val="28"/>
          <w:szCs w:val="28"/>
          <w:u w:val="none"/>
          <w:lang w:val="en-US" w:eastAsia="zh-CN"/>
        </w:rPr>
        <w:t xml:space="preserve">1 </w:t>
      </w:r>
      <w:r>
        <w:rPr>
          <w:rStyle w:val="14"/>
          <w:rFonts w:hint="eastAsia" w:ascii="宋体" w:hAnsi="宋体" w:eastAsia="宋体" w:cs="宋体"/>
          <w:b/>
          <w:color w:val="auto"/>
          <w:sz w:val="28"/>
          <w:szCs w:val="28"/>
          <w:u w:val="none"/>
        </w:rPr>
        <w:t>定义</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A7B786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 “合同”或“合同文件”：指本合同及其附录。</w:t>
      </w:r>
    </w:p>
    <w:p w14:paraId="0DBE448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 “合同年”：指从日历年的一月一日零时起后至本年的十二月三十一日二十四时。第一个合同年为供气启动日至次年的十二月三十一日二十四时。</w:t>
      </w:r>
    </w:p>
    <w:p w14:paraId="7993E13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 “月或每月”：指日历月。</w:t>
      </w:r>
    </w:p>
    <w:p w14:paraId="118BEA9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 “天或每天”：指从0时起后连续24小时的时间。</w:t>
      </w:r>
    </w:p>
    <w:p w14:paraId="216EA24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 “MPa”：指兆帕，除非注明绝对兆帕，否则指表压。</w:t>
      </w:r>
    </w:p>
    <w:p w14:paraId="1D8E6F2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 “Nm</w:t>
      </w:r>
      <w:r>
        <w:rPr>
          <w:rFonts w:hint="eastAsia" w:ascii="宋体" w:hAnsi="宋体" w:eastAsia="宋体" w:cs="宋体"/>
          <w:color w:val="auto"/>
          <w:sz w:val="28"/>
          <w:szCs w:val="28"/>
          <w:vertAlign w:val="superscript"/>
        </w:rPr>
        <w:t>3</w:t>
      </w:r>
      <w:r>
        <w:rPr>
          <w:rFonts w:hint="eastAsia" w:ascii="宋体" w:hAnsi="宋体" w:eastAsia="宋体" w:cs="宋体"/>
          <w:color w:val="auto"/>
          <w:sz w:val="28"/>
          <w:szCs w:val="28"/>
        </w:rPr>
        <w:t>”：指0℃，101.325KPa下气体的标准立方米。</w:t>
      </w:r>
    </w:p>
    <w:p w14:paraId="4690F9F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 “乙方管道”：指由乙方建造、拥有和运行，建于乙方租赁场地并延伸至气体产品和公用工程介质交接边界，并包括将来可能需要改动或新增的管道。任何情况下，该财产归“乙方”所有。</w:t>
      </w:r>
    </w:p>
    <w:p w14:paraId="035DE49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 “乙方设施”：指乙方界区内由其建造、拥有、运行和维护的所有设备和建筑物，且应包括今后对乙方设备和建筑物做出的任何改动、增加或延伸。包括但不限于投资形成的房屋、设备、设施以及任何进一步的改进和增加的设施。任何情况下，该财产归“乙方”所有。</w:t>
      </w:r>
    </w:p>
    <w:p w14:paraId="1B37CDA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 “甲方设施”：指位于甲方的界区内由其建设、拥有的设施，包括甲方目前已经拥有和运行的及日后改动或添加的设施。</w:t>
      </w:r>
    </w:p>
    <w:p w14:paraId="61E33C6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0</w:t>
      </w:r>
      <w:r>
        <w:rPr>
          <w:rFonts w:hint="eastAsia" w:ascii="宋体" w:hAnsi="宋体" w:eastAsia="宋体" w:cs="宋体"/>
          <w:color w:val="auto"/>
          <w:sz w:val="28"/>
          <w:szCs w:val="28"/>
        </w:rPr>
        <w:t xml:space="preserve"> “甲方管道”：指由甲方建造、拥有和运行，建于甲方场地及从气体和公用工程介质交接点至甲方场地内各不同交接点，并包括将来可能需要改动或新增的管道。</w:t>
      </w:r>
    </w:p>
    <w:p w14:paraId="4ECD943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 “公用工程介质”：指由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方供应给</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方工厂生产运营所必须的水、电、蒸汽等能源。</w:t>
      </w:r>
    </w:p>
    <w:p w14:paraId="1322D18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 “计量仪器”：指安装在产品气体或公用工程介质管道上用来监测本合同中产品气体和公用工程介质用量的仪器，由拥有方</w:t>
      </w:r>
      <w:r>
        <w:rPr>
          <w:rFonts w:hint="eastAsia" w:ascii="宋体" w:hAnsi="宋体" w:eastAsia="宋体" w:cs="宋体"/>
          <w:color w:val="auto"/>
          <w:sz w:val="28"/>
          <w:szCs w:val="28"/>
          <w:lang w:val="en-US" w:eastAsia="zh-CN"/>
        </w:rPr>
        <w:t>负责</w:t>
      </w:r>
      <w:r>
        <w:rPr>
          <w:rFonts w:hint="eastAsia" w:ascii="宋体" w:hAnsi="宋体" w:eastAsia="宋体" w:cs="宋体"/>
          <w:color w:val="auto"/>
          <w:sz w:val="28"/>
          <w:szCs w:val="28"/>
        </w:rPr>
        <w:t>维护</w:t>
      </w:r>
      <w:bookmarkStart w:id="41" w:name="_Toc186375351"/>
      <w:r>
        <w:rPr>
          <w:rFonts w:hint="eastAsia" w:ascii="宋体" w:hAnsi="宋体" w:eastAsia="宋体" w:cs="宋体"/>
          <w:color w:val="auto"/>
          <w:sz w:val="28"/>
          <w:szCs w:val="28"/>
          <w:lang w:eastAsia="zh-CN"/>
        </w:rPr>
        <w:t>。</w:t>
      </w:r>
    </w:p>
    <w:p w14:paraId="25766BD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 “交接点”：指双方所提供产品或公用工程介质权属分界点。具体见合同约定。</w:t>
      </w:r>
    </w:p>
    <w:p w14:paraId="1669A460">
      <w:pPr>
        <w:pageBreakBefore w:val="0"/>
        <w:kinsoku/>
        <w:wordWrap/>
        <w:overflowPunct/>
        <w:topLinePunct w:val="0"/>
        <w:autoSpaceDE w:val="0"/>
        <w:autoSpaceDN w:val="0"/>
        <w:bidi w:val="0"/>
        <w:adjustRightInd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 “供</w:t>
      </w:r>
      <w:r>
        <w:rPr>
          <w:rFonts w:hint="eastAsia" w:ascii="宋体" w:hAnsi="宋体" w:eastAsia="宋体" w:cs="宋体"/>
          <w:color w:val="auto"/>
          <w:sz w:val="28"/>
          <w:szCs w:val="28"/>
          <w:lang w:val="en-US" w:eastAsia="zh-CN"/>
        </w:rPr>
        <w:t>应</w:t>
      </w:r>
      <w:r>
        <w:rPr>
          <w:rFonts w:hint="eastAsia" w:ascii="宋体" w:hAnsi="宋体" w:eastAsia="宋体" w:cs="宋体"/>
          <w:color w:val="auto"/>
          <w:sz w:val="28"/>
          <w:szCs w:val="28"/>
        </w:rPr>
        <w:t>启动日”：指双方商定开始直接供应</w:t>
      </w:r>
      <w:r>
        <w:rPr>
          <w:rFonts w:hint="eastAsia" w:ascii="宋体" w:hAnsi="宋体" w:eastAsia="宋体" w:cs="宋体"/>
          <w:color w:val="auto"/>
          <w:sz w:val="28"/>
          <w:szCs w:val="28"/>
          <w:lang w:val="en-US" w:eastAsia="zh-CN"/>
        </w:rPr>
        <w:t>公用工程介质</w:t>
      </w:r>
      <w:r>
        <w:rPr>
          <w:rFonts w:hint="eastAsia" w:ascii="宋体" w:hAnsi="宋体" w:eastAsia="宋体" w:cs="宋体"/>
          <w:color w:val="auto"/>
          <w:sz w:val="28"/>
          <w:szCs w:val="28"/>
        </w:rPr>
        <w:t>并收费的具体日期。具体时间见第2.</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条款规定。</w:t>
      </w:r>
    </w:p>
    <w:bookmarkEnd w:id="41"/>
    <w:p w14:paraId="304286EC">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42" w:name="_Toc234745075"/>
      <w:bookmarkStart w:id="43" w:name="_Toc24995"/>
      <w:bookmarkStart w:id="44" w:name="_Toc5230_WPSOffice_Level1"/>
      <w:bookmarkStart w:id="45" w:name="_Toc24065830"/>
      <w:bookmarkStart w:id="46" w:name="_Toc234584396"/>
      <w:bookmarkStart w:id="47" w:name="_Toc10177"/>
      <w:bookmarkStart w:id="48" w:name="_Toc11855"/>
      <w:bookmarkStart w:id="49" w:name="_Toc234805797"/>
      <w:bookmarkStart w:id="50" w:name="_Toc234743154"/>
      <w:bookmarkStart w:id="51" w:name="_Toc225674125"/>
      <w:bookmarkStart w:id="52" w:name="_Toc234743703"/>
      <w:bookmarkStart w:id="53" w:name="_Toc225655130"/>
      <w:bookmarkStart w:id="54" w:name="_Toc225655415"/>
      <w:bookmarkStart w:id="55" w:name="_Toc17860"/>
      <w:bookmarkStart w:id="56" w:name="_Toc234805273"/>
      <w:bookmarkStart w:id="57" w:name="_Toc16851"/>
      <w:bookmarkStart w:id="58" w:name="_Toc234727176"/>
      <w:bookmarkStart w:id="59" w:name="_Toc234727374"/>
      <w:bookmarkStart w:id="60" w:name="_Toc234743089"/>
      <w:bookmarkStart w:id="61" w:name="_Toc186375352"/>
      <w:r>
        <w:rPr>
          <w:rStyle w:val="14"/>
          <w:rFonts w:hint="eastAsia" w:ascii="宋体" w:hAnsi="宋体" w:eastAsia="宋体" w:cs="宋体"/>
          <w:b/>
          <w:color w:val="auto"/>
          <w:sz w:val="28"/>
          <w:szCs w:val="28"/>
          <w:u w:val="none"/>
          <w:lang w:val="en-US" w:eastAsia="zh-CN"/>
        </w:rPr>
        <w:t>2公用工程介质供应</w:t>
      </w:r>
      <w:r>
        <w:rPr>
          <w:rStyle w:val="14"/>
          <w:rFonts w:hint="eastAsia" w:ascii="宋体" w:hAnsi="宋体" w:eastAsia="宋体" w:cs="宋体"/>
          <w:b/>
          <w:color w:val="auto"/>
          <w:sz w:val="28"/>
          <w:szCs w:val="28"/>
          <w:u w:val="none"/>
        </w:rPr>
        <w:t>条件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1BBB6BC">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2.1 </w:t>
      </w:r>
      <w:r>
        <w:rPr>
          <w:rFonts w:hint="eastAsia" w:ascii="宋体" w:hAnsi="宋体" w:eastAsia="宋体" w:cs="宋体"/>
          <w:color w:val="C00000"/>
          <w:sz w:val="28"/>
          <w:szCs w:val="28"/>
          <w:lang w:val="en-US" w:eastAsia="zh-CN"/>
        </w:rPr>
        <w:t>凌钢原制氧系统甲乙双方交接完毕后</w:t>
      </w:r>
      <w:r>
        <w:rPr>
          <w:rFonts w:hint="eastAsia" w:ascii="宋体" w:hAnsi="宋体" w:eastAsia="宋体" w:cs="宋体"/>
          <w:color w:val="C00000"/>
          <w:sz w:val="28"/>
          <w:szCs w:val="28"/>
        </w:rPr>
        <w:t>，</w:t>
      </w:r>
      <w:r>
        <w:rPr>
          <w:rFonts w:hint="eastAsia" w:ascii="宋体" w:hAnsi="宋体" w:eastAsia="宋体" w:cs="宋体"/>
          <w:color w:val="C00000"/>
          <w:sz w:val="28"/>
          <w:szCs w:val="28"/>
          <w:lang w:val="en-US" w:eastAsia="zh-CN"/>
        </w:rPr>
        <w:t>甲</w:t>
      </w:r>
      <w:r>
        <w:rPr>
          <w:rFonts w:hint="eastAsia" w:ascii="宋体" w:hAnsi="宋体" w:eastAsia="宋体" w:cs="宋体"/>
          <w:color w:val="C00000"/>
          <w:sz w:val="28"/>
          <w:szCs w:val="28"/>
        </w:rPr>
        <w:t>方将出售并交付</w:t>
      </w:r>
      <w:r>
        <w:rPr>
          <w:rFonts w:hint="eastAsia" w:ascii="宋体" w:hAnsi="宋体" w:eastAsia="宋体" w:cs="宋体"/>
          <w:color w:val="C00000"/>
          <w:sz w:val="28"/>
          <w:szCs w:val="28"/>
          <w:lang w:val="en-US" w:eastAsia="zh-CN"/>
        </w:rPr>
        <w:t>乙</w:t>
      </w:r>
      <w:r>
        <w:rPr>
          <w:rFonts w:hint="eastAsia" w:ascii="宋体" w:hAnsi="宋体" w:eastAsia="宋体" w:cs="宋体"/>
          <w:color w:val="C00000"/>
          <w:sz w:val="28"/>
          <w:szCs w:val="28"/>
        </w:rPr>
        <w:t>方生产所需的</w:t>
      </w:r>
      <w:r>
        <w:rPr>
          <w:rFonts w:hint="eastAsia" w:ascii="宋体" w:hAnsi="宋体" w:eastAsia="宋体" w:cs="宋体"/>
          <w:color w:val="C00000"/>
          <w:sz w:val="28"/>
          <w:szCs w:val="28"/>
          <w:lang w:val="en-US" w:eastAsia="zh-CN"/>
        </w:rPr>
        <w:t>公用工程介质</w:t>
      </w:r>
      <w:r>
        <w:rPr>
          <w:rFonts w:hint="eastAsia" w:ascii="宋体" w:hAnsi="宋体" w:eastAsia="宋体" w:cs="宋体"/>
          <w:color w:val="C00000"/>
          <w:sz w:val="28"/>
          <w:szCs w:val="28"/>
        </w:rPr>
        <w:t>。</w:t>
      </w:r>
    </w:p>
    <w:p w14:paraId="185A1B8E">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供</w:t>
      </w:r>
      <w:r>
        <w:rPr>
          <w:rFonts w:hint="eastAsia" w:ascii="宋体" w:hAnsi="宋体" w:eastAsia="宋体" w:cs="宋体"/>
          <w:color w:val="auto"/>
          <w:sz w:val="28"/>
          <w:szCs w:val="28"/>
          <w:highlight w:val="none"/>
          <w:lang w:val="en-US" w:eastAsia="zh-CN"/>
        </w:rPr>
        <w:t>应</w:t>
      </w:r>
      <w:r>
        <w:rPr>
          <w:rFonts w:hint="eastAsia" w:ascii="宋体" w:hAnsi="宋体" w:eastAsia="宋体" w:cs="宋体"/>
          <w:color w:val="auto"/>
          <w:sz w:val="28"/>
          <w:szCs w:val="28"/>
          <w:highlight w:val="none"/>
        </w:rPr>
        <w:t>启动日：</w:t>
      </w:r>
      <w:r>
        <w:rPr>
          <w:rFonts w:hint="eastAsia" w:ascii="宋体" w:hAnsi="宋体" w:eastAsia="宋体" w:cs="宋体"/>
          <w:b w:val="0"/>
          <w:bCs/>
          <w:color w:val="auto"/>
          <w:sz w:val="28"/>
          <w:szCs w:val="28"/>
          <w:highlight w:val="none"/>
          <w:lang w:val="en-US" w:eastAsia="zh-CN"/>
        </w:rPr>
        <w:t>系指甲方实际开始向乙方供应公用工程介质且乙方实际接收之日</w:t>
      </w:r>
      <w:r>
        <w:rPr>
          <w:rFonts w:hint="eastAsia" w:ascii="宋体" w:hAnsi="宋体" w:eastAsia="宋体" w:cs="宋体"/>
          <w:color w:val="auto"/>
          <w:sz w:val="28"/>
          <w:szCs w:val="28"/>
          <w:highlight w:val="none"/>
        </w:rPr>
        <w:t>。</w:t>
      </w:r>
    </w:p>
    <w:p w14:paraId="6F1DD7B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Hans"/>
        </w:rPr>
        <w:t>自供</w:t>
      </w:r>
      <w:r>
        <w:rPr>
          <w:rFonts w:hint="eastAsia" w:ascii="宋体" w:hAnsi="宋体" w:eastAsia="宋体" w:cs="宋体"/>
          <w:color w:val="auto"/>
          <w:sz w:val="28"/>
          <w:szCs w:val="28"/>
          <w:lang w:val="en-US" w:eastAsia="zh-CN"/>
        </w:rPr>
        <w:t>应</w:t>
      </w:r>
      <w:r>
        <w:rPr>
          <w:rFonts w:hint="eastAsia" w:ascii="宋体" w:hAnsi="宋体" w:eastAsia="宋体" w:cs="宋体"/>
          <w:color w:val="auto"/>
          <w:sz w:val="28"/>
          <w:szCs w:val="28"/>
          <w:lang w:eastAsia="zh-Hans"/>
        </w:rPr>
        <w:t>启动日起，</w:t>
      </w:r>
      <w:r>
        <w:rPr>
          <w:rFonts w:hint="eastAsia" w:ascii="宋体" w:hAnsi="宋体" w:eastAsia="宋体" w:cs="宋体"/>
          <w:color w:val="auto"/>
          <w:sz w:val="28"/>
          <w:szCs w:val="28"/>
        </w:rPr>
        <w:t>在合同有效期内，</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方确保向</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方供应</w:t>
      </w:r>
      <w:r>
        <w:rPr>
          <w:rFonts w:hint="eastAsia" w:ascii="宋体" w:hAnsi="宋体" w:eastAsia="宋体" w:cs="宋体"/>
          <w:color w:val="auto"/>
          <w:sz w:val="28"/>
          <w:szCs w:val="28"/>
          <w:lang w:val="en-US" w:eastAsia="zh-CN"/>
        </w:rPr>
        <w:t>合格公用工程介质水、电、蒸汽等</w:t>
      </w:r>
      <w:r>
        <w:rPr>
          <w:rFonts w:hint="eastAsia" w:ascii="宋体" w:hAnsi="宋体" w:eastAsia="宋体" w:cs="宋体"/>
          <w:color w:val="auto"/>
          <w:sz w:val="28"/>
          <w:szCs w:val="28"/>
        </w:rPr>
        <w:t>。</w:t>
      </w:r>
    </w:p>
    <w:bookmarkEnd w:id="61"/>
    <w:p w14:paraId="5975F48A">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62" w:name="_Toc234727375"/>
      <w:bookmarkStart w:id="63" w:name="_Toc225655131"/>
      <w:bookmarkStart w:id="64" w:name="_Toc11639"/>
      <w:bookmarkStart w:id="65" w:name="_Toc8318"/>
      <w:bookmarkStart w:id="66" w:name="_Toc225655416"/>
      <w:bookmarkStart w:id="67" w:name="_Toc12825_WPSOffice_Level1"/>
      <w:bookmarkStart w:id="68" w:name="_Toc234743704"/>
      <w:bookmarkStart w:id="69" w:name="_Toc234743155"/>
      <w:bookmarkStart w:id="70" w:name="_Toc225674126"/>
      <w:bookmarkStart w:id="71" w:name="_Toc234805798"/>
      <w:bookmarkStart w:id="72" w:name="_Toc234805274"/>
      <w:bookmarkStart w:id="73" w:name="_Toc234584397"/>
      <w:bookmarkStart w:id="74" w:name="_Toc24065831"/>
      <w:bookmarkStart w:id="75" w:name="_Toc7443"/>
      <w:bookmarkStart w:id="76" w:name="_Toc19691"/>
      <w:bookmarkStart w:id="77" w:name="_Toc18418"/>
      <w:bookmarkStart w:id="78" w:name="_Toc234743090"/>
      <w:bookmarkStart w:id="79" w:name="_Toc234745076"/>
      <w:bookmarkStart w:id="80" w:name="_Toc234727177"/>
      <w:bookmarkStart w:id="81" w:name="_Toc186375353"/>
      <w:r>
        <w:rPr>
          <w:rStyle w:val="14"/>
          <w:rFonts w:hint="eastAsia" w:ascii="宋体" w:hAnsi="宋体" w:eastAsia="宋体" w:cs="宋体"/>
          <w:b/>
          <w:color w:val="auto"/>
          <w:sz w:val="28"/>
          <w:szCs w:val="28"/>
          <w:u w:val="none"/>
        </w:rPr>
        <w:t>3 设施和公用工程</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2CA3F16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甲乙双方各自拥有其界区内包括地上、地下的所有设施、设备的所有权，各自负责自己的设备</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管道和设施的运行、维护。</w:t>
      </w:r>
      <w:bookmarkStart w:id="82" w:name="_Ref465562395"/>
    </w:p>
    <w:bookmarkEnd w:id="81"/>
    <w:bookmarkEnd w:id="82"/>
    <w:p w14:paraId="28BFEE50">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83" w:name="_Toc22522"/>
      <w:bookmarkStart w:id="84" w:name="_Toc234743091"/>
      <w:bookmarkStart w:id="85" w:name="_Toc234584398"/>
      <w:bookmarkStart w:id="86" w:name="_Toc225655132"/>
      <w:bookmarkStart w:id="87" w:name="_Toc234805799"/>
      <w:bookmarkStart w:id="88" w:name="_Toc13328"/>
      <w:bookmarkStart w:id="89" w:name="_Toc29034"/>
      <w:bookmarkStart w:id="90" w:name="_Toc17650_WPSOffice_Level1"/>
      <w:bookmarkStart w:id="91" w:name="_Toc234745077"/>
      <w:bookmarkStart w:id="92" w:name="_Toc26120"/>
      <w:bookmarkStart w:id="93" w:name="_Toc225674127"/>
      <w:bookmarkStart w:id="94" w:name="_Toc24065832"/>
      <w:bookmarkStart w:id="95" w:name="_Toc234727376"/>
      <w:bookmarkStart w:id="96" w:name="_Toc6660"/>
      <w:bookmarkStart w:id="97" w:name="_Toc234743705"/>
      <w:bookmarkStart w:id="98" w:name="_Toc234727178"/>
      <w:bookmarkStart w:id="99" w:name="_Toc225655417"/>
      <w:bookmarkStart w:id="100" w:name="_Toc234743156"/>
      <w:bookmarkStart w:id="101" w:name="_Toc234805275"/>
      <w:r>
        <w:rPr>
          <w:rStyle w:val="14"/>
          <w:rFonts w:hint="eastAsia" w:ascii="宋体" w:hAnsi="宋体" w:eastAsia="宋体" w:cs="宋体"/>
          <w:b/>
          <w:color w:val="auto"/>
          <w:sz w:val="28"/>
          <w:szCs w:val="28"/>
          <w:u w:val="none"/>
        </w:rPr>
        <w:t>4 交接和质量</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E73E73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4.1 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方供应的公用工程介质需输送至合同约定的交接点，在该点所供介质的相关所有权和灭</w:t>
      </w:r>
      <w:r>
        <w:rPr>
          <w:rFonts w:hint="eastAsia" w:ascii="宋体" w:hAnsi="宋体" w:eastAsia="宋体" w:cs="宋体"/>
          <w:color w:val="auto"/>
          <w:sz w:val="28"/>
          <w:szCs w:val="28"/>
          <w:lang w:val="en-US" w:eastAsia="zh-CN"/>
        </w:rPr>
        <w:t>火</w:t>
      </w:r>
      <w:r>
        <w:rPr>
          <w:rFonts w:hint="eastAsia" w:ascii="宋体" w:hAnsi="宋体" w:eastAsia="宋体" w:cs="宋体"/>
          <w:color w:val="auto"/>
          <w:sz w:val="28"/>
          <w:szCs w:val="28"/>
        </w:rPr>
        <w:t>风险也转移给对方。</w:t>
      </w:r>
    </w:p>
    <w:p w14:paraId="45A09EF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w:t>
      </w:r>
      <w:r>
        <w:rPr>
          <w:rFonts w:hint="eastAsia" w:ascii="宋体" w:hAnsi="宋体" w:eastAsia="宋体" w:cs="宋体"/>
          <w:color w:val="auto"/>
          <w:sz w:val="28"/>
          <w:szCs w:val="28"/>
          <w:lang w:val="en-US" w:eastAsia="zh-CN"/>
        </w:rPr>
        <w:t>2甲</w:t>
      </w:r>
      <w:r>
        <w:rPr>
          <w:rFonts w:hint="eastAsia" w:ascii="宋体" w:hAnsi="宋体" w:eastAsia="宋体" w:cs="宋体"/>
          <w:color w:val="auto"/>
          <w:sz w:val="28"/>
          <w:szCs w:val="28"/>
        </w:rPr>
        <w:t>方</w:t>
      </w:r>
      <w:r>
        <w:rPr>
          <w:rFonts w:hint="eastAsia" w:ascii="宋体" w:hAnsi="宋体" w:eastAsia="宋体" w:cs="宋体"/>
          <w:color w:val="auto"/>
          <w:sz w:val="28"/>
          <w:szCs w:val="28"/>
          <w:highlight w:val="yellow"/>
          <w:lang w:val="en-US" w:eastAsia="zh-CN"/>
        </w:rPr>
        <w:t>负责</w:t>
      </w:r>
      <w:r>
        <w:rPr>
          <w:rFonts w:hint="eastAsia" w:ascii="宋体" w:hAnsi="宋体" w:eastAsia="宋体" w:cs="宋体"/>
          <w:color w:val="auto"/>
          <w:sz w:val="28"/>
          <w:szCs w:val="28"/>
        </w:rPr>
        <w:t>提供给</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w:t>
      </w:r>
      <w:r>
        <w:rPr>
          <w:rFonts w:hint="eastAsia" w:ascii="宋体" w:hAnsi="宋体" w:eastAsia="宋体" w:cs="宋体"/>
          <w:color w:val="auto"/>
          <w:sz w:val="28"/>
          <w:szCs w:val="28"/>
          <w:lang w:val="en-US" w:eastAsia="zh-CN"/>
        </w:rPr>
        <w:t>合格的</w:t>
      </w:r>
      <w:r>
        <w:rPr>
          <w:rFonts w:hint="eastAsia" w:ascii="宋体" w:hAnsi="宋体" w:eastAsia="宋体" w:cs="宋体"/>
          <w:color w:val="auto"/>
          <w:sz w:val="28"/>
          <w:szCs w:val="28"/>
        </w:rPr>
        <w:t>公用工程介质。如果发</w:t>
      </w:r>
      <w:r>
        <w:rPr>
          <w:rFonts w:hint="eastAsia" w:ascii="宋体" w:hAnsi="宋体" w:eastAsia="宋体" w:cs="宋体"/>
          <w:color w:val="auto"/>
          <w:sz w:val="28"/>
          <w:szCs w:val="28"/>
          <w:lang w:val="en-US" w:eastAsia="zh-CN"/>
        </w:rPr>
        <w:t>现</w:t>
      </w:r>
      <w:r>
        <w:rPr>
          <w:rFonts w:hint="eastAsia" w:ascii="宋体" w:hAnsi="宋体" w:eastAsia="宋体" w:cs="宋体"/>
          <w:color w:val="auto"/>
          <w:sz w:val="28"/>
          <w:szCs w:val="28"/>
        </w:rPr>
        <w:t>有不合格的公用工程介质，</w:t>
      </w:r>
      <w:r>
        <w:rPr>
          <w:rFonts w:hint="eastAsia" w:ascii="宋体" w:hAnsi="宋体" w:eastAsia="宋体" w:cs="宋体"/>
          <w:color w:val="auto"/>
          <w:sz w:val="28"/>
          <w:szCs w:val="28"/>
          <w:lang w:val="en-US" w:eastAsia="zh-CN"/>
        </w:rPr>
        <w:t>应立即通知甲方，甲</w:t>
      </w:r>
      <w:r>
        <w:rPr>
          <w:rFonts w:hint="eastAsia" w:ascii="宋体" w:hAnsi="宋体" w:eastAsia="宋体" w:cs="宋体"/>
          <w:color w:val="auto"/>
          <w:sz w:val="28"/>
          <w:szCs w:val="28"/>
        </w:rPr>
        <w:t>方应立即采取措施予以解决</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方须在24小时内以书面形式提出异议和提供有关检测数据。若不能及时解决，由此给</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方造成的损失的应由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方进行</w:t>
      </w:r>
      <w:r>
        <w:rPr>
          <w:rFonts w:hint="eastAsia" w:ascii="宋体" w:hAnsi="宋体" w:eastAsia="宋体" w:cs="宋体"/>
          <w:color w:val="auto"/>
          <w:sz w:val="28"/>
          <w:szCs w:val="28"/>
          <w:lang w:val="en-US" w:eastAsia="zh-CN"/>
        </w:rPr>
        <w:t>赔偿</w:t>
      </w:r>
      <w:r>
        <w:rPr>
          <w:rFonts w:hint="eastAsia" w:ascii="宋体" w:hAnsi="宋体" w:eastAsia="宋体" w:cs="宋体"/>
          <w:color w:val="auto"/>
          <w:sz w:val="28"/>
          <w:szCs w:val="28"/>
        </w:rPr>
        <w:t>，具体赔偿费用及方式双方协商确定。</w:t>
      </w:r>
    </w:p>
    <w:p w14:paraId="7EF792DB">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102" w:name="_Toc234743157"/>
      <w:bookmarkStart w:id="103" w:name="_Toc225674128"/>
      <w:bookmarkStart w:id="104" w:name="_Toc234727377"/>
      <w:bookmarkStart w:id="105" w:name="_Toc225655418"/>
      <w:bookmarkStart w:id="106" w:name="_Toc2445_WPSOffice_Level1"/>
      <w:bookmarkStart w:id="107" w:name="_Toc234727179"/>
      <w:bookmarkStart w:id="108" w:name="_Toc19482"/>
      <w:bookmarkStart w:id="109" w:name="_Toc234805276"/>
      <w:bookmarkStart w:id="110" w:name="_Toc24065833"/>
      <w:bookmarkStart w:id="111" w:name="_Toc234743706"/>
      <w:bookmarkStart w:id="112" w:name="_Toc234805800"/>
      <w:bookmarkStart w:id="113" w:name="_Toc6353"/>
      <w:bookmarkStart w:id="114" w:name="_Toc234745078"/>
      <w:bookmarkStart w:id="115" w:name="_Toc234743092"/>
      <w:bookmarkStart w:id="116" w:name="_Toc26827"/>
      <w:bookmarkStart w:id="117" w:name="_Toc225655133"/>
      <w:bookmarkStart w:id="118" w:name="_Toc7051"/>
      <w:bookmarkStart w:id="119" w:name="_Toc669"/>
      <w:bookmarkStart w:id="120" w:name="_Toc234584399"/>
      <w:r>
        <w:rPr>
          <w:rStyle w:val="14"/>
          <w:rFonts w:hint="eastAsia" w:ascii="宋体" w:hAnsi="宋体" w:eastAsia="宋体" w:cs="宋体"/>
          <w:b/>
          <w:color w:val="auto"/>
          <w:sz w:val="28"/>
          <w:szCs w:val="28"/>
          <w:u w:val="none"/>
        </w:rPr>
        <w:t>5 计量</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5CFA17E0">
      <w:pPr>
        <w:keepNext w:val="0"/>
        <w:keepLines w:val="0"/>
        <w:pageBreakBefore w:val="0"/>
        <w:widowControl w:val="0"/>
        <w:numPr>
          <w:ilvl w:val="0"/>
          <w:numId w:val="0"/>
        </w:numPr>
        <w:kinsoku/>
        <w:wordWrap/>
        <w:overflowPunct/>
        <w:topLinePunct w:val="0"/>
        <w:autoSpaceDE/>
        <w:autoSpaceDN/>
        <w:bidi w:val="0"/>
        <w:snapToGrid w:val="0"/>
        <w:spacing w:line="360" w:lineRule="auto"/>
        <w:contextualSpacing/>
        <w:jc w:val="both"/>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highlight w:val="none"/>
        </w:rPr>
        <w:t>5.1</w:t>
      </w:r>
      <w:bookmarkStart w:id="121" w:name="_Hlk43275953"/>
      <w:r>
        <w:rPr>
          <w:rFonts w:hint="eastAsia" w:ascii="宋体" w:hAnsi="宋体" w:eastAsia="宋体" w:cs="宋体"/>
          <w:bCs w:val="0"/>
          <w:kern w:val="2"/>
          <w:sz w:val="28"/>
          <w:szCs w:val="28"/>
          <w:highlight w:val="none"/>
          <w:lang w:val="en-US" w:eastAsia="zh-CN"/>
        </w:rPr>
        <w:t>双方在各自区域安装同型号规格的检测仪器和计量仪表，用于公用工程介质的计量。</w:t>
      </w:r>
      <w:r>
        <w:rPr>
          <w:rFonts w:hint="eastAsia" w:ascii="宋体" w:hAnsi="宋体" w:eastAsia="宋体" w:cs="宋体"/>
          <w:color w:val="auto"/>
          <w:sz w:val="28"/>
          <w:szCs w:val="28"/>
          <w:highlight w:val="none"/>
        </w:rPr>
        <w:t>计量仪器放置于安全柜内并加锁，安全柜的开启、变动，由双方共同实施，一方不得擅自开启安全柜。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凌钢不具备条件安装</w:t>
      </w:r>
      <w:r>
        <w:rPr>
          <w:rFonts w:hint="eastAsia" w:ascii="宋体" w:hAnsi="宋体" w:eastAsia="宋体" w:cs="宋体"/>
          <w:bCs w:val="0"/>
          <w:kern w:val="2"/>
          <w:sz w:val="28"/>
          <w:szCs w:val="28"/>
          <w:highlight w:val="none"/>
          <w:lang w:val="en-US" w:eastAsia="zh-CN"/>
        </w:rPr>
        <w:t>计量仪表时，以乙方计量数据为准</w:t>
      </w:r>
      <w:r>
        <w:rPr>
          <w:rFonts w:hint="eastAsia" w:ascii="宋体" w:hAnsi="宋体" w:eastAsia="宋体" w:cs="宋体"/>
          <w:color w:val="auto"/>
          <w:sz w:val="28"/>
          <w:szCs w:val="28"/>
          <w:highlight w:val="none"/>
          <w:lang w:eastAsia="zh-CN"/>
        </w:rPr>
        <w:t>）</w:t>
      </w:r>
    </w:p>
    <w:p w14:paraId="0E888569">
      <w:pPr>
        <w:pageBreakBefore w:val="0"/>
        <w:widowControl w:val="0"/>
        <w:numPr>
          <w:ilvl w:val="0"/>
          <w:numId w:val="0"/>
        </w:numPr>
        <w:kinsoku/>
        <w:wordWrap/>
        <w:overflowPunct/>
        <w:topLinePunct w:val="0"/>
        <w:autoSpaceDE/>
        <w:autoSpaceDN/>
        <w:bidi w:val="0"/>
        <w:snapToGrid w:val="0"/>
        <w:spacing w:line="360" w:lineRule="auto"/>
        <w:contextualSpacing/>
        <w:jc w:val="both"/>
        <w:textAlignment w:val="auto"/>
        <w:rPr>
          <w:rFonts w:hint="eastAsia" w:ascii="宋体" w:hAnsi="宋体" w:eastAsia="宋体" w:cs="宋体"/>
          <w:color w:val="auto"/>
          <w:sz w:val="28"/>
          <w:szCs w:val="28"/>
          <w:highlight w:val="none"/>
        </w:rPr>
      </w:pPr>
      <w:r>
        <w:rPr>
          <w:rFonts w:hint="eastAsia" w:ascii="宋体" w:hAnsi="宋体" w:eastAsia="宋体" w:cs="宋体"/>
          <w:bCs w:val="0"/>
          <w:kern w:val="2"/>
          <w:sz w:val="28"/>
          <w:szCs w:val="28"/>
          <w:lang w:val="en-US" w:eastAsia="zh-CN"/>
        </w:rPr>
        <w:t>5.2计量表的计量准确度满足以下要求，</w:t>
      </w:r>
      <w:bookmarkEnd w:id="121"/>
      <w:r>
        <w:rPr>
          <w:rFonts w:hint="eastAsia" w:ascii="宋体" w:hAnsi="宋体" w:eastAsia="宋体" w:cs="宋体"/>
          <w:bCs w:val="0"/>
          <w:color w:val="0000FF"/>
          <w:kern w:val="2"/>
          <w:sz w:val="28"/>
          <w:szCs w:val="28"/>
          <w:highlight w:val="none"/>
          <w:lang w:val="en-US" w:eastAsia="zh-CN"/>
        </w:rPr>
        <w:t>按照</w:t>
      </w:r>
      <w:r>
        <w:rPr>
          <w:rFonts w:hint="eastAsia" w:ascii="宋体" w:hAnsi="宋体" w:eastAsia="宋体" w:cs="宋体"/>
          <w:bCs w:val="0"/>
          <w:kern w:val="2"/>
          <w:sz w:val="28"/>
          <w:szCs w:val="28"/>
          <w:highlight w:val="none"/>
          <w:lang w:val="en-US" w:eastAsia="zh-CN"/>
        </w:rPr>
        <w:t>钢铁企业能源计量器具配备和管理要求（GB/T-21368-2008）。</w:t>
      </w:r>
    </w:p>
    <w:p w14:paraId="0F7DFC70">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5.3</w:t>
      </w:r>
      <w:r>
        <w:rPr>
          <w:rFonts w:hint="eastAsia" w:ascii="宋体" w:hAnsi="宋体" w:eastAsia="宋体" w:cs="宋体"/>
          <w:color w:val="auto"/>
          <w:sz w:val="28"/>
          <w:szCs w:val="28"/>
        </w:rPr>
        <w:t>甲乙双方应任命己方的抄表代表和后备代表，并将他们的姓名、所在部门、通讯地址、办公场所、联系方式（包括手机、办公电话）书面通知对方，抄表代表或后备代表离职或不再履行抄表职责时，应在他们离职或不再履行抄表职责当日任命新抄表代表或后备代表，并将新抄表代表和后备代表的姓名、所在部门、通讯地址、办公场所、联系方式（包括手机、办公电话）书面通知对方。任何一方不按本款约定及时任命抄表代表和后备代表并书面告知另一方，则另一方代表在合同约定的读表时间单独读表并签字有效。</w:t>
      </w:r>
    </w:p>
    <w:p w14:paraId="474280C4">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5.4</w:t>
      </w:r>
      <w:r>
        <w:rPr>
          <w:rFonts w:hint="eastAsia" w:ascii="宋体" w:hAnsi="宋体" w:eastAsia="宋体" w:cs="宋体"/>
          <w:color w:val="auto"/>
          <w:sz w:val="28"/>
          <w:szCs w:val="28"/>
        </w:rPr>
        <w:t>在设备运行期间：</w:t>
      </w:r>
      <w:r>
        <w:rPr>
          <w:rFonts w:hint="eastAsia" w:ascii="宋体" w:hAnsi="宋体" w:eastAsia="宋体" w:cs="宋体"/>
          <w:color w:val="C00000"/>
          <w:sz w:val="28"/>
          <w:szCs w:val="28"/>
          <w:highlight w:val="yellow"/>
        </w:rPr>
        <w:t>每月</w:t>
      </w:r>
      <w:r>
        <w:rPr>
          <w:rFonts w:hint="eastAsia" w:ascii="宋体" w:hAnsi="宋体" w:eastAsia="宋体" w:cs="宋体"/>
          <w:color w:val="C00000"/>
          <w:sz w:val="28"/>
          <w:szCs w:val="28"/>
          <w:highlight w:val="yellow"/>
          <w:lang w:val="en-US" w:eastAsia="zh-CN"/>
        </w:rPr>
        <w:t>**</w:t>
      </w:r>
      <w:r>
        <w:rPr>
          <w:rFonts w:hint="eastAsia" w:ascii="宋体" w:hAnsi="宋体" w:eastAsia="宋体" w:cs="宋体"/>
          <w:color w:val="C00000"/>
          <w:sz w:val="28"/>
          <w:szCs w:val="28"/>
          <w:highlight w:val="yellow"/>
        </w:rPr>
        <w:t>日</w:t>
      </w:r>
      <w:r>
        <w:rPr>
          <w:rFonts w:hint="eastAsia" w:ascii="宋体" w:hAnsi="宋体" w:eastAsia="宋体" w:cs="宋体"/>
          <w:color w:val="auto"/>
          <w:sz w:val="28"/>
          <w:szCs w:val="28"/>
        </w:rPr>
        <w:t>为抄表日，该日由双方指定人员（各方不少于2人）共同到现场抄录双方计量表，抄表数据一式两份，经双方人员签字确认后作为结算依据。</w:t>
      </w:r>
      <w:r>
        <w:rPr>
          <w:rFonts w:hint="eastAsia" w:ascii="宋体" w:hAnsi="宋体" w:eastAsia="宋体" w:cs="宋体"/>
          <w:color w:val="auto"/>
          <w:sz w:val="28"/>
          <w:szCs w:val="28"/>
          <w:lang w:val="en-US" w:eastAsia="zh-CN"/>
        </w:rPr>
        <w:t>数据偏差不能超出</w:t>
      </w:r>
      <w:r>
        <w:rPr>
          <w:rFonts w:hint="eastAsia" w:ascii="宋体" w:hAnsi="宋体" w:eastAsia="宋体" w:cs="宋体"/>
          <w:bCs w:val="0"/>
          <w:kern w:val="2"/>
          <w:sz w:val="28"/>
          <w:szCs w:val="28"/>
          <w:highlight w:val="none"/>
          <w:lang w:val="en-US" w:eastAsia="zh-CN"/>
        </w:rPr>
        <w:t>钢铁企业能源计量器具配备和管理要求（GB/T-21368-2008）规定的标准</w:t>
      </w:r>
      <w:r>
        <w:rPr>
          <w:rFonts w:hint="eastAsia" w:ascii="宋体" w:hAnsi="宋体" w:eastAsia="宋体" w:cs="宋体"/>
          <w:bCs w:val="0"/>
          <w:color w:val="C00000"/>
          <w:kern w:val="2"/>
          <w:sz w:val="28"/>
          <w:szCs w:val="28"/>
          <w:lang w:val="en-US" w:eastAsia="zh-CN"/>
        </w:rPr>
        <w:t>，</w:t>
      </w:r>
      <w:r>
        <w:rPr>
          <w:rFonts w:hint="eastAsia" w:ascii="宋体" w:hAnsi="宋体" w:eastAsia="宋体" w:cs="宋体"/>
          <w:color w:val="auto"/>
          <w:sz w:val="28"/>
          <w:szCs w:val="28"/>
          <w:highlight w:val="none"/>
          <w:lang w:val="en-US" w:eastAsia="zh-CN"/>
        </w:rPr>
        <w:t>偏差超出标准双方协商解决。</w:t>
      </w:r>
    </w:p>
    <w:p w14:paraId="515A51F2">
      <w:pPr>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color w:val="auto"/>
          <w:kern w:val="2"/>
          <w:sz w:val="28"/>
          <w:szCs w:val="28"/>
        </w:rPr>
      </w:pPr>
      <w:r>
        <w:rPr>
          <w:rFonts w:hint="eastAsia" w:ascii="宋体" w:hAnsi="宋体" w:eastAsia="宋体" w:cs="宋体"/>
          <w:color w:val="auto"/>
          <w:sz w:val="28"/>
          <w:szCs w:val="28"/>
          <w:lang w:val="en-US" w:eastAsia="zh-CN"/>
        </w:rPr>
        <w:t>5.5</w:t>
      </w:r>
      <w:r>
        <w:rPr>
          <w:rFonts w:hint="eastAsia" w:ascii="宋体" w:hAnsi="宋体" w:eastAsia="宋体" w:cs="宋体"/>
          <w:color w:val="C00000"/>
          <w:sz w:val="28"/>
          <w:szCs w:val="28"/>
          <w:highlight w:val="yellow"/>
        </w:rPr>
        <w:t>每月</w:t>
      </w:r>
      <w:r>
        <w:rPr>
          <w:rFonts w:hint="eastAsia" w:ascii="宋体" w:hAnsi="宋体" w:eastAsia="宋体" w:cs="宋体"/>
          <w:color w:val="C00000"/>
          <w:sz w:val="28"/>
          <w:szCs w:val="28"/>
          <w:highlight w:val="yellow"/>
          <w:lang w:val="en-US" w:eastAsia="zh-CN"/>
        </w:rPr>
        <w:t>月末前**天</w:t>
      </w:r>
      <w:r>
        <w:rPr>
          <w:rFonts w:hint="eastAsia" w:ascii="宋体" w:hAnsi="宋体" w:eastAsia="宋体" w:cs="宋体"/>
          <w:color w:val="auto"/>
          <w:sz w:val="28"/>
          <w:szCs w:val="28"/>
        </w:rPr>
        <w:t>为双方财务结算日，该日双方经办人员将本结算月的公用工程介质使用情况以书面形式提供给对方，双方签字确认后作为结算凭据。</w:t>
      </w:r>
      <w:r>
        <w:rPr>
          <w:rFonts w:hint="eastAsia" w:ascii="宋体" w:hAnsi="宋体" w:eastAsia="宋体" w:cs="宋体"/>
          <w:bCs/>
          <w:color w:val="auto"/>
          <w:kern w:val="2"/>
          <w:sz w:val="28"/>
          <w:szCs w:val="28"/>
        </w:rPr>
        <w:t>除非双方另行协议，否则乙方应保存所有的原始数据、检测数据、图表和其它类似的记录，保存期限为合同期限。</w:t>
      </w:r>
    </w:p>
    <w:p w14:paraId="2BA27DB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双方</w:t>
      </w:r>
      <w:r>
        <w:rPr>
          <w:rFonts w:hint="eastAsia" w:ascii="宋体" w:hAnsi="宋体" w:eastAsia="宋体" w:cs="宋体"/>
          <w:color w:val="auto"/>
          <w:sz w:val="28"/>
          <w:szCs w:val="28"/>
        </w:rPr>
        <w:t>根据行业规范建设、运行和维护</w:t>
      </w:r>
      <w:r>
        <w:rPr>
          <w:rFonts w:hint="eastAsia" w:ascii="宋体" w:hAnsi="宋体" w:eastAsia="宋体" w:cs="宋体"/>
          <w:color w:val="auto"/>
          <w:sz w:val="28"/>
          <w:szCs w:val="28"/>
          <w:lang w:val="en-US" w:eastAsia="zh-CN"/>
        </w:rPr>
        <w:t>本</w:t>
      </w:r>
      <w:r>
        <w:rPr>
          <w:rFonts w:hint="eastAsia" w:ascii="宋体" w:hAnsi="宋体" w:eastAsia="宋体" w:cs="宋体"/>
          <w:color w:val="auto"/>
          <w:sz w:val="28"/>
          <w:szCs w:val="28"/>
        </w:rPr>
        <w:t>范围内的设备，并承担其发生的一切费用。计量仪器的参数设置、修正由双方共同确认。</w:t>
      </w:r>
    </w:p>
    <w:p w14:paraId="0DCB32B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5.7</w:t>
      </w:r>
      <w:r>
        <w:rPr>
          <w:rFonts w:hint="eastAsia" w:ascii="宋体" w:hAnsi="宋体" w:eastAsia="宋体" w:cs="宋体"/>
          <w:bCs/>
          <w:color w:val="auto"/>
          <w:kern w:val="2"/>
          <w:sz w:val="28"/>
          <w:szCs w:val="28"/>
          <w:lang w:val="en-US" w:eastAsia="zh-CN"/>
        </w:rPr>
        <w:t>计量系统</w:t>
      </w:r>
      <w:r>
        <w:rPr>
          <w:rFonts w:hint="eastAsia" w:ascii="宋体" w:hAnsi="宋体" w:eastAsia="宋体" w:cs="宋体"/>
          <w:bCs/>
          <w:color w:val="auto"/>
          <w:kern w:val="2"/>
          <w:sz w:val="28"/>
          <w:szCs w:val="28"/>
        </w:rPr>
        <w:t>能够即时提供计量输出数据或计量打印（在某一特定时间交付时的瞬时流量、累计流量、温度和压力）。双方</w:t>
      </w:r>
      <w:r>
        <w:rPr>
          <w:rFonts w:hint="eastAsia" w:ascii="宋体" w:hAnsi="宋体" w:eastAsia="宋体" w:cs="宋体"/>
          <w:bCs/>
          <w:color w:val="auto"/>
          <w:kern w:val="2"/>
          <w:sz w:val="28"/>
          <w:szCs w:val="28"/>
          <w:lang w:val="en-US" w:eastAsia="zh-CN"/>
        </w:rPr>
        <w:t>计量数据共享，要引至对方DCS系统和凌钢能源管控系统上显示。</w:t>
      </w:r>
    </w:p>
    <w:p w14:paraId="1ED338C8">
      <w:pPr>
        <w:keepNext w:val="0"/>
        <w:keepLines w:val="0"/>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sz w:val="28"/>
          <w:szCs w:val="28"/>
          <w:highlight w:val="none"/>
        </w:rPr>
      </w:pPr>
      <w:r>
        <w:rPr>
          <w:rFonts w:hint="eastAsia" w:ascii="宋体" w:hAnsi="宋体" w:eastAsia="宋体" w:cs="宋体"/>
          <w:color w:val="auto"/>
          <w:sz w:val="28"/>
          <w:szCs w:val="28"/>
        </w:rPr>
        <w:t>5.</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 </w:t>
      </w:r>
      <w:r>
        <w:rPr>
          <w:rFonts w:hint="eastAsia" w:ascii="宋体" w:hAnsi="宋体" w:eastAsia="宋体" w:cs="宋体"/>
          <w:sz w:val="28"/>
          <w:szCs w:val="28"/>
          <w:lang w:val="en-US" w:eastAsia="zh-CN"/>
        </w:rPr>
        <w:t>双</w:t>
      </w:r>
      <w:r>
        <w:rPr>
          <w:rFonts w:hint="eastAsia" w:ascii="宋体" w:hAnsi="宋体" w:eastAsia="宋体" w:cs="宋体"/>
          <w:sz w:val="28"/>
          <w:szCs w:val="28"/>
        </w:rPr>
        <w:t>方每年需至少自费委托有资质的第三方对计量仪表检定一次，并定期进行期间核查和校正</w:t>
      </w:r>
      <w:r>
        <w:rPr>
          <w:rFonts w:hint="eastAsia" w:ascii="宋体" w:hAnsi="宋体" w:eastAsia="宋体" w:cs="宋体"/>
          <w:sz w:val="28"/>
          <w:szCs w:val="28"/>
          <w:lang w:eastAsia="zh-CN"/>
        </w:rPr>
        <w:t>（</w:t>
      </w:r>
      <w:r>
        <w:rPr>
          <w:rFonts w:hint="eastAsia" w:ascii="宋体" w:hAnsi="宋体" w:eastAsia="宋体" w:cs="宋体"/>
          <w:color w:val="0000FF"/>
          <w:sz w:val="28"/>
          <w:szCs w:val="28"/>
          <w:highlight w:val="none"/>
          <w:lang w:val="en-US" w:eastAsia="zh-CN"/>
        </w:rPr>
        <w:t>若需进行离线检定，设计时要考虑增加旁通仪表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w:t>
      </w:r>
    </w:p>
    <w:p w14:paraId="5A4512EF">
      <w:pPr>
        <w:keepNext w:val="0"/>
        <w:keepLines w:val="0"/>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val="0"/>
          <w:kern w:val="2"/>
          <w:sz w:val="28"/>
          <w:szCs w:val="28"/>
          <w:lang w:val="en-US" w:eastAsia="zh-CN"/>
        </w:rPr>
      </w:pPr>
      <w:r>
        <w:rPr>
          <w:rFonts w:hint="eastAsia" w:ascii="宋体" w:hAnsi="宋体" w:eastAsia="宋体" w:cs="宋体"/>
          <w:sz w:val="28"/>
          <w:szCs w:val="28"/>
          <w:lang w:val="en-US" w:eastAsia="zh-CN"/>
        </w:rPr>
        <w:t>5.9</w:t>
      </w:r>
      <w:r>
        <w:rPr>
          <w:rFonts w:hint="eastAsia" w:ascii="宋体" w:hAnsi="宋体" w:eastAsia="宋体" w:cs="宋体"/>
          <w:color w:val="auto"/>
          <w:sz w:val="28"/>
          <w:szCs w:val="28"/>
        </w:rPr>
        <w:t>若怀疑计量仪器的准确性，任何一方均可以书面形式提出，并由双方的技术部门</w:t>
      </w:r>
      <w:r>
        <w:rPr>
          <w:rFonts w:hint="eastAsia" w:ascii="宋体" w:hAnsi="宋体" w:eastAsia="宋体" w:cs="宋体"/>
          <w:color w:val="auto"/>
          <w:sz w:val="28"/>
          <w:szCs w:val="28"/>
          <w:lang w:val="en-US" w:eastAsia="zh-CN"/>
        </w:rPr>
        <w:t>和委托第三方</w:t>
      </w:r>
      <w:r>
        <w:rPr>
          <w:rFonts w:hint="eastAsia" w:ascii="宋体" w:hAnsi="宋体" w:eastAsia="宋体" w:cs="宋体"/>
          <w:color w:val="auto"/>
          <w:sz w:val="28"/>
          <w:szCs w:val="28"/>
        </w:rPr>
        <w:t>进行联检。被要求一方必须在要求提出日之后的一周内同意进行联检，不得推迟。</w:t>
      </w:r>
      <w:r>
        <w:rPr>
          <w:rFonts w:hint="eastAsia" w:ascii="宋体" w:hAnsi="宋体" w:eastAsia="宋体" w:cs="宋体"/>
          <w:bCs w:val="0"/>
          <w:kern w:val="2"/>
          <w:sz w:val="28"/>
          <w:szCs w:val="28"/>
          <w:lang w:val="en-US" w:eastAsia="zh-CN"/>
        </w:rPr>
        <w:t>若依测试结果，发现计量设备是准确的，申请测试方将支付测试费用，但若发现计量结果不准确，则计量设备拥有方将支付测试费用并对计量设备进行校正。</w:t>
      </w:r>
    </w:p>
    <w:p w14:paraId="4A99E3C1">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rPr>
      </w:pPr>
      <w:r>
        <w:rPr>
          <w:rFonts w:hint="eastAsia" w:ascii="宋体" w:hAnsi="宋体" w:eastAsia="宋体" w:cs="宋体"/>
          <w:bCs w:val="0"/>
          <w:kern w:val="2"/>
          <w:sz w:val="28"/>
          <w:szCs w:val="28"/>
          <w:lang w:val="en-US" w:eastAsia="zh-CN"/>
        </w:rPr>
        <w:t>5.10在任何测试中发现计量设备不准确，计量设备拥有方将开出更正发票，用以调整测试日期前三十天或截至</w:t>
      </w:r>
      <w:bookmarkStart w:id="366" w:name="_GoBack"/>
      <w:bookmarkEnd w:id="366"/>
      <w:r>
        <w:rPr>
          <w:rFonts w:hint="eastAsia" w:ascii="宋体" w:hAnsi="宋体" w:eastAsia="宋体" w:cs="宋体"/>
          <w:bCs w:val="0"/>
          <w:kern w:val="2"/>
          <w:sz w:val="28"/>
          <w:szCs w:val="28"/>
          <w:lang w:val="en-US" w:eastAsia="zh-CN"/>
        </w:rPr>
        <w:t>上一次测试日期前所实际供应的产品，以时间短者为准，超出允许偏差部分数据进行调整。对于任何一次测试，结果显示的计量设备满量程精确度偏差达到设备要求准确度时，计量设备将被认为是准确的。</w:t>
      </w:r>
    </w:p>
    <w:p w14:paraId="6400AF4F">
      <w:pPr>
        <w:keepNext w:val="0"/>
        <w:keepLines w:val="0"/>
        <w:pageBreakBefore w:val="0"/>
        <w:widowControl w:val="0"/>
        <w:kinsoku/>
        <w:wordWrap/>
        <w:overflowPunct/>
        <w:topLinePunct w:val="0"/>
        <w:autoSpaceDE w:val="0"/>
        <w:autoSpaceDN w:val="0"/>
        <w:bidi w:val="0"/>
        <w:adjustRightInd w:val="0"/>
        <w:spacing w:beforeAutospacing="0" w:afterAutospacing="0" w:line="360" w:lineRule="auto"/>
        <w:jc w:val="both"/>
        <w:textAlignment w:val="auto"/>
        <w:rPr>
          <w:rFonts w:hint="eastAsia" w:ascii="宋体" w:hAnsi="宋体" w:eastAsia="宋体" w:cs="宋体"/>
          <w:bCs/>
          <w:color w:val="auto"/>
          <w:kern w:val="2"/>
          <w:sz w:val="28"/>
          <w:szCs w:val="28"/>
        </w:rPr>
      </w:pPr>
      <w:bookmarkStart w:id="122" w:name="_Toc225655134"/>
      <w:bookmarkStart w:id="123" w:name="_Toc234805277"/>
      <w:bookmarkStart w:id="124" w:name="_Toc234727378"/>
      <w:bookmarkStart w:id="125" w:name="_Toc234727180"/>
      <w:bookmarkStart w:id="126" w:name="_Toc234743158"/>
      <w:bookmarkStart w:id="127" w:name="_Toc234584400"/>
      <w:bookmarkStart w:id="128" w:name="_Toc234743093"/>
      <w:bookmarkStart w:id="129" w:name="_Toc234743707"/>
      <w:bookmarkStart w:id="130" w:name="_Toc234745079"/>
      <w:bookmarkStart w:id="131" w:name="_Toc234805801"/>
      <w:bookmarkStart w:id="132" w:name="_Toc225674129"/>
      <w:bookmarkStart w:id="133" w:name="_Toc225655419"/>
      <w:r>
        <w:rPr>
          <w:rFonts w:hint="eastAsia" w:ascii="宋体" w:hAnsi="宋体" w:eastAsia="宋体" w:cs="宋体"/>
          <w:bCs/>
          <w:color w:val="auto"/>
          <w:kern w:val="2"/>
          <w:sz w:val="28"/>
          <w:szCs w:val="28"/>
        </w:rPr>
        <w:t>5.</w:t>
      </w:r>
      <w:r>
        <w:rPr>
          <w:rFonts w:hint="eastAsia" w:ascii="宋体" w:hAnsi="宋体" w:eastAsia="宋体" w:cs="宋体"/>
          <w:bCs/>
          <w:color w:val="auto"/>
          <w:kern w:val="2"/>
          <w:sz w:val="28"/>
          <w:szCs w:val="28"/>
          <w:lang w:val="en-US" w:eastAsia="zh-CN"/>
        </w:rPr>
        <w:t>11</w:t>
      </w:r>
      <w:r>
        <w:rPr>
          <w:rFonts w:hint="eastAsia" w:ascii="宋体" w:hAnsi="宋体" w:eastAsia="宋体" w:cs="宋体"/>
          <w:bCs/>
          <w:color w:val="auto"/>
          <w:kern w:val="2"/>
          <w:sz w:val="28"/>
          <w:szCs w:val="28"/>
        </w:rPr>
        <w:t xml:space="preserve"> 如果由于断电、检修或其他原因造成计量装备停止计量，一方应及时通知另一方。在此情况下，双方应依据计量中断</w:t>
      </w:r>
      <w:r>
        <w:rPr>
          <w:rFonts w:hint="eastAsia" w:ascii="宋体" w:hAnsi="宋体" w:eastAsia="宋体" w:cs="宋体"/>
          <w:bCs/>
          <w:color w:val="auto"/>
          <w:kern w:val="2"/>
          <w:sz w:val="28"/>
          <w:szCs w:val="28"/>
          <w:lang w:val="en-US" w:eastAsia="zh-CN"/>
        </w:rPr>
        <w:t>前</w:t>
      </w:r>
      <w:r>
        <w:rPr>
          <w:rFonts w:hint="eastAsia" w:ascii="宋体" w:hAnsi="宋体" w:eastAsia="宋体" w:cs="宋体"/>
          <w:bCs/>
          <w:color w:val="auto"/>
          <w:kern w:val="2"/>
          <w:sz w:val="28"/>
          <w:szCs w:val="28"/>
        </w:rPr>
        <w:t>的</w:t>
      </w:r>
      <w:r>
        <w:rPr>
          <w:rFonts w:hint="eastAsia" w:ascii="宋体" w:hAnsi="宋体" w:eastAsia="宋体" w:cs="宋体"/>
          <w:bCs/>
          <w:color w:val="auto"/>
          <w:kern w:val="2"/>
          <w:sz w:val="28"/>
          <w:szCs w:val="28"/>
          <w:lang w:val="en-US" w:eastAsia="zh-CN"/>
        </w:rPr>
        <w:t>平均计量数据</w:t>
      </w:r>
      <w:r>
        <w:rPr>
          <w:rFonts w:hint="eastAsia" w:ascii="宋体" w:hAnsi="宋体" w:eastAsia="宋体" w:cs="宋体"/>
          <w:bCs/>
          <w:color w:val="auto"/>
          <w:kern w:val="2"/>
          <w:sz w:val="28"/>
          <w:szCs w:val="28"/>
        </w:rPr>
        <w:t>作为结算依据。</w:t>
      </w:r>
    </w:p>
    <w:bookmarkEnd w:id="122"/>
    <w:bookmarkEnd w:id="123"/>
    <w:bookmarkEnd w:id="124"/>
    <w:bookmarkEnd w:id="125"/>
    <w:bookmarkEnd w:id="126"/>
    <w:bookmarkEnd w:id="127"/>
    <w:bookmarkEnd w:id="128"/>
    <w:bookmarkEnd w:id="129"/>
    <w:bookmarkEnd w:id="130"/>
    <w:bookmarkEnd w:id="131"/>
    <w:bookmarkEnd w:id="132"/>
    <w:bookmarkEnd w:id="133"/>
    <w:p w14:paraId="42F7667D">
      <w:pPr>
        <w:pStyle w:val="6"/>
        <w:pageBreakBefore w:val="0"/>
        <w:kinsoku/>
        <w:wordWrap/>
        <w:overflowPunct/>
        <w:topLinePunct w:val="0"/>
        <w:bidi w:val="0"/>
        <w:spacing w:beforeAutospacing="0" w:afterAutospacing="0" w:line="360" w:lineRule="auto"/>
        <w:textAlignment w:val="auto"/>
        <w:outlineLvl w:val="0"/>
        <w:rPr>
          <w:rStyle w:val="14"/>
          <w:rFonts w:hint="eastAsia" w:ascii="宋体" w:hAnsi="宋体" w:eastAsia="宋体" w:cs="宋体"/>
          <w:b/>
          <w:color w:val="auto"/>
          <w:sz w:val="28"/>
          <w:szCs w:val="28"/>
          <w:u w:val="none"/>
        </w:rPr>
      </w:pPr>
      <w:bookmarkStart w:id="134" w:name="_Toc225674130"/>
      <w:bookmarkStart w:id="135" w:name="_Toc225655135"/>
      <w:bookmarkStart w:id="136" w:name="_Toc234745080"/>
      <w:bookmarkStart w:id="137" w:name="_Toc234805802"/>
      <w:bookmarkStart w:id="138" w:name="_Toc234743159"/>
      <w:bookmarkStart w:id="139" w:name="_Toc234805278"/>
      <w:bookmarkStart w:id="140" w:name="_Toc16952_WPSOffice_Level1"/>
      <w:bookmarkStart w:id="141" w:name="_Toc234727379"/>
      <w:bookmarkStart w:id="142" w:name="_Toc234584401"/>
      <w:bookmarkStart w:id="143" w:name="_Toc234743094"/>
      <w:bookmarkStart w:id="144" w:name="_Toc24065835"/>
      <w:bookmarkStart w:id="145" w:name="_Toc26160"/>
      <w:bookmarkStart w:id="146" w:name="_Toc4396"/>
      <w:bookmarkStart w:id="147" w:name="_Toc225655420"/>
      <w:bookmarkStart w:id="148" w:name="_Toc603"/>
      <w:bookmarkStart w:id="149" w:name="_Toc234743708"/>
      <w:bookmarkStart w:id="150" w:name="_Toc234727181"/>
      <w:bookmarkStart w:id="151" w:name="_Toc28613"/>
      <w:bookmarkStart w:id="152" w:name="_Toc26337"/>
      <w:r>
        <w:rPr>
          <w:rStyle w:val="14"/>
          <w:rFonts w:hint="eastAsia" w:ascii="宋体" w:hAnsi="宋体" w:eastAsia="宋体" w:cs="宋体"/>
          <w:b/>
          <w:color w:val="auto"/>
          <w:sz w:val="28"/>
          <w:szCs w:val="28"/>
          <w:u w:val="none"/>
          <w:lang w:val="en-US" w:eastAsia="zh-CN"/>
        </w:rPr>
        <w:t>6</w:t>
      </w:r>
      <w:r>
        <w:rPr>
          <w:rStyle w:val="14"/>
          <w:rFonts w:hint="eastAsia" w:ascii="宋体" w:hAnsi="宋体" w:eastAsia="宋体" w:cs="宋体"/>
          <w:b/>
          <w:color w:val="auto"/>
          <w:sz w:val="28"/>
          <w:szCs w:val="28"/>
          <w:u w:val="none"/>
        </w:rPr>
        <w:t xml:space="preserve"> 价格</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35E0A48B">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bookmarkStart w:id="153" w:name="_Toc369065750"/>
      <w:bookmarkStart w:id="154" w:name="_Toc360018857"/>
      <w:bookmarkStart w:id="155" w:name="_Toc369076055"/>
      <w:bookmarkStart w:id="156" w:name="_Toc360001601"/>
      <w:bookmarkStart w:id="157" w:name="_Toc367869526"/>
      <w:bookmarkStart w:id="158" w:name="_Toc369074877"/>
      <w:bookmarkStart w:id="159" w:name="_Toc369078143"/>
      <w:bookmarkStart w:id="160" w:name="_Toc369076181"/>
      <w:bookmarkStart w:id="161" w:name="_Toc359988207"/>
      <w:bookmarkStart w:id="162" w:name="_Toc365283496"/>
      <w:bookmarkStart w:id="163" w:name="_Toc369064146"/>
      <w:bookmarkStart w:id="164" w:name="_Toc365197757"/>
      <w:bookmarkStart w:id="165" w:name="_Toc369063949"/>
      <w:bookmarkStart w:id="166" w:name="_Toc367867524"/>
      <w:bookmarkStart w:id="167" w:name="_Toc365191275"/>
      <w:bookmarkStart w:id="168" w:name="_Toc360022208"/>
      <w:bookmarkStart w:id="169" w:name="_Toc359989418"/>
      <w:bookmarkStart w:id="170" w:name="_Toc360000789"/>
      <w:bookmarkStart w:id="171" w:name="_Toc365197075"/>
      <w:bookmarkStart w:id="172" w:name="_Toc359992680"/>
      <w:bookmarkStart w:id="173" w:name="_Toc368109893"/>
      <w:bookmarkStart w:id="174" w:name="_Toc234727182"/>
      <w:bookmarkStart w:id="175" w:name="_Toc234745081"/>
      <w:bookmarkStart w:id="176" w:name="_Toc234727380"/>
      <w:bookmarkStart w:id="177" w:name="_Toc234743709"/>
      <w:bookmarkStart w:id="178" w:name="_Toc234743160"/>
      <w:bookmarkStart w:id="179" w:name="_Toc234805803"/>
      <w:bookmarkStart w:id="180" w:name="_Toc225674131"/>
      <w:bookmarkStart w:id="181" w:name="_Toc234805279"/>
      <w:bookmarkStart w:id="182" w:name="_Toc225655136"/>
      <w:bookmarkStart w:id="183" w:name="_Toc234584402"/>
      <w:bookmarkStart w:id="184" w:name="_Toc234743095"/>
      <w:bookmarkStart w:id="185" w:name="_Toc225655421"/>
      <w:r>
        <w:rPr>
          <w:rFonts w:hint="eastAsia" w:ascii="宋体" w:hAnsi="宋体" w:eastAsia="宋体" w:cs="宋体"/>
          <w:color w:val="auto"/>
          <w:sz w:val="28"/>
          <w:szCs w:val="28"/>
          <w:lang w:val="en-US" w:eastAsia="zh-CN"/>
        </w:rPr>
        <w:t>6.1</w:t>
      </w:r>
      <w:r>
        <w:rPr>
          <w:rFonts w:hint="eastAsia" w:ascii="宋体" w:hAnsi="宋体" w:eastAsia="宋体" w:cs="宋体"/>
          <w:color w:val="auto"/>
          <w:sz w:val="28"/>
          <w:szCs w:val="28"/>
        </w:rPr>
        <w:t>公用工程介质及价格</w:t>
      </w:r>
      <w:r>
        <w:rPr>
          <w:rFonts w:hint="eastAsia" w:ascii="宋体" w:hAnsi="宋体" w:eastAsia="宋体" w:cs="宋体"/>
          <w:b/>
          <w:color w:val="auto"/>
          <w:sz w:val="28"/>
          <w:szCs w:val="28"/>
        </w:rPr>
        <w:t>（不含税）</w:t>
      </w:r>
    </w:p>
    <w:tbl>
      <w:tblPr>
        <w:tblStyle w:val="11"/>
        <w:tblW w:w="78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241"/>
        <w:gridCol w:w="5655"/>
      </w:tblGrid>
      <w:tr w14:paraId="77274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5F39A8">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b/>
                <w:i w:val="0"/>
                <w:color w:val="000000"/>
                <w:sz w:val="28"/>
                <w:szCs w:val="28"/>
                <w:highlight w:val="none"/>
                <w:u w:val="none"/>
              </w:rPr>
            </w:pPr>
            <w:r>
              <w:rPr>
                <w:rFonts w:hint="eastAsia" w:ascii="宋体" w:hAnsi="宋体" w:eastAsia="宋体" w:cs="宋体"/>
                <w:b/>
                <w:i w:val="0"/>
                <w:color w:val="000000"/>
                <w:kern w:val="0"/>
                <w:sz w:val="28"/>
                <w:szCs w:val="28"/>
                <w:highlight w:val="none"/>
                <w:u w:val="none"/>
                <w:lang w:val="en-US" w:eastAsia="zh-CN" w:bidi="ar"/>
              </w:rPr>
              <w:t>能介名称</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53A998">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b/>
                <w:i w:val="0"/>
                <w:color w:val="000000"/>
                <w:sz w:val="28"/>
                <w:szCs w:val="28"/>
                <w:highlight w:val="none"/>
                <w:u w:val="none"/>
              </w:rPr>
            </w:pPr>
            <w:r>
              <w:rPr>
                <w:rFonts w:hint="eastAsia" w:ascii="宋体" w:hAnsi="宋体" w:eastAsia="宋体" w:cs="宋体"/>
                <w:b/>
                <w:i w:val="0"/>
                <w:color w:val="000000"/>
                <w:kern w:val="0"/>
                <w:sz w:val="28"/>
                <w:szCs w:val="28"/>
                <w:highlight w:val="none"/>
                <w:u w:val="none"/>
                <w:lang w:val="en-US" w:eastAsia="zh-CN" w:bidi="ar"/>
              </w:rPr>
              <w:t>采购价（不含税）</w:t>
            </w:r>
          </w:p>
        </w:tc>
      </w:tr>
      <w:tr w14:paraId="51D79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ACBEC5">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电</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9BC9ED">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default" w:ascii="宋体" w:hAnsi="宋体" w:eastAsia="宋体" w:cs="宋体"/>
                <w:i w:val="0"/>
                <w:color w:val="000000"/>
                <w:sz w:val="28"/>
                <w:szCs w:val="28"/>
                <w:highlight w:val="none"/>
                <w:u w:val="none"/>
                <w:lang w:val="en-US"/>
              </w:rPr>
            </w:pPr>
            <w:r>
              <w:rPr>
                <w:rFonts w:hint="eastAsia" w:ascii="宋体" w:hAnsi="宋体" w:eastAsia="宋体" w:cs="宋体"/>
                <w:i w:val="0"/>
                <w:color w:val="000000"/>
                <w:kern w:val="0"/>
                <w:sz w:val="28"/>
                <w:szCs w:val="28"/>
                <w:highlight w:val="none"/>
                <w:u w:val="none"/>
                <w:lang w:val="en-US" w:eastAsia="zh-CN" w:bidi="ar"/>
              </w:rPr>
              <w:t>0.59 元/kwh</w:t>
            </w:r>
          </w:p>
        </w:tc>
      </w:tr>
      <w:tr w14:paraId="148FD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475B18">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default" w:ascii="宋体" w:hAnsi="宋体" w:eastAsia="宋体" w:cs="宋体"/>
                <w:i w:val="0"/>
                <w:color w:val="000000"/>
                <w:kern w:val="0"/>
                <w:sz w:val="28"/>
                <w:szCs w:val="28"/>
                <w:highlight w:val="none"/>
                <w:u w:val="none"/>
                <w:lang w:val="en-US" w:eastAsia="zh-CN" w:bidi="ar"/>
              </w:rPr>
            </w:pPr>
            <w:r>
              <w:rPr>
                <w:rFonts w:hint="eastAsia" w:ascii="宋体" w:hAnsi="宋体" w:eastAsia="宋体" w:cs="宋体"/>
                <w:i w:val="0"/>
                <w:color w:val="000000"/>
                <w:kern w:val="0"/>
                <w:sz w:val="28"/>
                <w:szCs w:val="28"/>
                <w:highlight w:val="none"/>
                <w:u w:val="none"/>
                <w:lang w:val="en-US" w:eastAsia="zh-CN" w:bidi="ar"/>
              </w:rPr>
              <w:t>工业净水</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092FF9">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kern w:val="0"/>
                <w:sz w:val="28"/>
                <w:szCs w:val="28"/>
                <w:highlight w:val="none"/>
                <w:u w:val="none"/>
                <w:lang w:val="en-US" w:eastAsia="zh-CN" w:bidi="ar"/>
              </w:rPr>
            </w:pPr>
            <w:r>
              <w:rPr>
                <w:rFonts w:hint="eastAsia" w:ascii="宋体" w:hAnsi="宋体" w:eastAsia="宋体" w:cs="宋体"/>
                <w:i w:val="0"/>
                <w:color w:val="000000"/>
                <w:kern w:val="0"/>
                <w:sz w:val="28"/>
                <w:szCs w:val="28"/>
                <w:highlight w:val="none"/>
                <w:u w:val="none"/>
                <w:lang w:val="en-US" w:eastAsia="zh-CN" w:bidi="ar"/>
              </w:rPr>
              <w:t>7 元/吨</w:t>
            </w:r>
          </w:p>
        </w:tc>
      </w:tr>
      <w:tr w14:paraId="58EE0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AE7A90">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default" w:ascii="宋体" w:hAnsi="宋体" w:eastAsia="宋体" w:cs="宋体"/>
                <w:i w:val="0"/>
                <w:color w:val="000000"/>
                <w:kern w:val="0"/>
                <w:sz w:val="28"/>
                <w:szCs w:val="28"/>
                <w:highlight w:val="none"/>
                <w:u w:val="none"/>
                <w:lang w:val="en-US" w:eastAsia="zh-CN" w:bidi="ar"/>
              </w:rPr>
            </w:pPr>
            <w:r>
              <w:rPr>
                <w:rFonts w:hint="eastAsia" w:ascii="宋体" w:hAnsi="宋体" w:eastAsia="宋体" w:cs="宋体"/>
                <w:i w:val="0"/>
                <w:color w:val="000000"/>
                <w:kern w:val="0"/>
                <w:sz w:val="28"/>
                <w:szCs w:val="28"/>
                <w:highlight w:val="none"/>
                <w:u w:val="none"/>
                <w:lang w:val="en-US" w:eastAsia="zh-CN" w:bidi="ar"/>
              </w:rPr>
              <w:t>软化水</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05AA94">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default" w:ascii="宋体" w:hAnsi="宋体" w:eastAsia="宋体" w:cs="宋体"/>
                <w:i w:val="0"/>
                <w:color w:val="000000"/>
                <w:kern w:val="0"/>
                <w:sz w:val="28"/>
                <w:szCs w:val="28"/>
                <w:highlight w:val="none"/>
                <w:u w:val="none"/>
                <w:lang w:val="en-US" w:eastAsia="zh-CN" w:bidi="ar"/>
              </w:rPr>
            </w:pPr>
            <w:r>
              <w:rPr>
                <w:rFonts w:hint="eastAsia" w:ascii="宋体" w:hAnsi="宋体" w:eastAsia="宋体" w:cs="宋体"/>
                <w:i w:val="0"/>
                <w:color w:val="000000"/>
                <w:kern w:val="0"/>
                <w:sz w:val="28"/>
                <w:szCs w:val="28"/>
                <w:highlight w:val="none"/>
                <w:u w:val="none"/>
                <w:lang w:val="en-US" w:eastAsia="zh-CN" w:bidi="ar"/>
              </w:rPr>
              <w:t>14.07 元/吨</w:t>
            </w:r>
          </w:p>
        </w:tc>
      </w:tr>
      <w:tr w14:paraId="5BC91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2F7860">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城市中水</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033960">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4.62 元/吨</w:t>
            </w:r>
          </w:p>
        </w:tc>
      </w:tr>
      <w:tr w14:paraId="4B02A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FAD874">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蒸汽</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55DBCA">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11月～次年3月50元/GJ，其他月份10元/GJ</w:t>
            </w:r>
          </w:p>
        </w:tc>
      </w:tr>
      <w:tr w14:paraId="57015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22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39358E">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热水</w:t>
            </w:r>
          </w:p>
        </w:tc>
        <w:tc>
          <w:tcPr>
            <w:tcW w:w="56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CC6C6E">
            <w:pPr>
              <w:keepNext w:val="0"/>
              <w:keepLines w:val="0"/>
              <w:pageBreakBefore w:val="0"/>
              <w:widowControl/>
              <w:suppressLineNumbers w:val="0"/>
              <w:kinsoku/>
              <w:wordWrap/>
              <w:overflowPunct/>
              <w:topLinePunct w:val="0"/>
              <w:autoSpaceDE/>
              <w:autoSpaceDN/>
              <w:bidi w:val="0"/>
              <w:adjustRightInd/>
              <w:spacing w:line="360" w:lineRule="auto"/>
              <w:jc w:val="left"/>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50元/GJ</w:t>
            </w:r>
          </w:p>
        </w:tc>
      </w:tr>
    </w:tbl>
    <w:p w14:paraId="432D6223">
      <w:pPr>
        <w:pStyle w:val="2"/>
        <w:keepNext w:val="0"/>
        <w:keepLines w:val="0"/>
        <w:pageBreakBefore w:val="0"/>
        <w:widowControl w:val="0"/>
        <w:kinsoku/>
        <w:wordWrap/>
        <w:overflowPunct/>
        <w:topLinePunct w:val="0"/>
        <w:autoSpaceDE/>
        <w:autoSpaceDN/>
        <w:bidi w:val="0"/>
        <w:adjustRightInd/>
        <w:spacing w:line="36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注：公用工程介质价格随国家政策调整。</w:t>
      </w:r>
    </w:p>
    <w:p w14:paraId="522D9CA0">
      <w:pPr>
        <w:pStyle w:val="2"/>
        <w:rPr>
          <w:rFonts w:hint="eastAsia"/>
        </w:rPr>
      </w:pPr>
    </w:p>
    <w:p w14:paraId="77D74E0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C00000"/>
          <w:sz w:val="28"/>
          <w:szCs w:val="28"/>
        </w:rPr>
      </w:pPr>
      <w:r>
        <w:rPr>
          <w:rFonts w:hint="eastAsia" w:ascii="宋体" w:hAnsi="宋体" w:eastAsia="宋体" w:cs="宋体"/>
          <w:color w:val="auto"/>
          <w:sz w:val="28"/>
          <w:szCs w:val="28"/>
          <w:lang w:val="en-US" w:eastAsia="zh-CN"/>
        </w:rPr>
        <w:t>6.2</w:t>
      </w:r>
      <w:r>
        <w:rPr>
          <w:rFonts w:hint="eastAsia" w:ascii="宋体" w:hAnsi="宋体" w:eastAsia="宋体" w:cs="宋体"/>
          <w:color w:val="auto"/>
          <w:sz w:val="28"/>
          <w:szCs w:val="28"/>
        </w:rPr>
        <w:t xml:space="preserve">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Start w:id="186" w:name="_Toc22203"/>
      <w:bookmarkStart w:id="187" w:name="_Toc6765"/>
      <w:bookmarkStart w:id="188" w:name="_Toc250730583"/>
      <w:bookmarkStart w:id="189" w:name="_Toc15950"/>
      <w:bookmarkStart w:id="190" w:name="_Toc24065836"/>
      <w:bookmarkStart w:id="191" w:name="_Toc14452"/>
      <w:bookmarkStart w:id="192" w:name="_Toc237400834"/>
      <w:bookmarkStart w:id="193" w:name="_Toc237417291"/>
      <w:bookmarkStart w:id="194" w:name="_Toc28047"/>
      <w:r>
        <w:rPr>
          <w:rFonts w:hint="eastAsia" w:ascii="宋体" w:hAnsi="宋体" w:eastAsia="宋体" w:cs="宋体"/>
          <w:color w:val="auto"/>
          <w:sz w:val="28"/>
          <w:szCs w:val="28"/>
          <w:lang w:val="en-US" w:eastAsia="zh-CN"/>
        </w:rPr>
        <w:t>介质</w:t>
      </w:r>
      <w:r>
        <w:rPr>
          <w:rFonts w:hint="eastAsia" w:ascii="宋体" w:hAnsi="宋体" w:eastAsia="宋体" w:cs="宋体"/>
          <w:color w:val="auto"/>
          <w:sz w:val="28"/>
          <w:szCs w:val="28"/>
        </w:rPr>
        <w:t>价格均为不含税价，遇国家增值税税率调整，不含税单价不变，根据调整后的税率计算含税单价。</w:t>
      </w:r>
    </w:p>
    <w:p w14:paraId="72DAC14B">
      <w:pPr>
        <w:pageBreakBefore w:val="0"/>
        <w:kinsoku/>
        <w:wordWrap/>
        <w:overflowPunct/>
        <w:topLinePunct w:val="0"/>
        <w:bidi w:val="0"/>
        <w:spacing w:beforeAutospacing="0" w:afterAutospacing="0" w:line="360" w:lineRule="auto"/>
        <w:textAlignment w:val="auto"/>
        <w:rPr>
          <w:rFonts w:hint="eastAsia" w:ascii="宋体" w:hAnsi="宋体" w:eastAsia="宋体" w:cs="宋体"/>
          <w:bCs w:val="0"/>
          <w:color w:val="auto"/>
          <w:sz w:val="28"/>
          <w:szCs w:val="28"/>
        </w:rPr>
      </w:pPr>
      <w:bookmarkStart w:id="195" w:name="_Toc19188_WPSOffice_Level1"/>
      <w:r>
        <w:rPr>
          <w:rFonts w:hint="eastAsia" w:ascii="宋体" w:hAnsi="宋体" w:eastAsia="宋体" w:cs="宋体"/>
          <w:bCs w:val="0"/>
          <w:color w:val="auto"/>
          <w:sz w:val="28"/>
          <w:szCs w:val="28"/>
          <w:lang w:val="en-US" w:eastAsia="zh-CN"/>
        </w:rPr>
        <w:t>7</w:t>
      </w:r>
      <w:r>
        <w:rPr>
          <w:rFonts w:hint="eastAsia" w:ascii="宋体" w:hAnsi="宋体" w:eastAsia="宋体" w:cs="宋体"/>
          <w:bCs w:val="0"/>
          <w:color w:val="auto"/>
          <w:sz w:val="28"/>
          <w:szCs w:val="28"/>
        </w:rPr>
        <w:t xml:space="preserve"> 价格调整</w:t>
      </w:r>
      <w:bookmarkEnd w:id="186"/>
      <w:bookmarkEnd w:id="187"/>
      <w:bookmarkEnd w:id="188"/>
      <w:bookmarkEnd w:id="189"/>
      <w:bookmarkEnd w:id="190"/>
      <w:bookmarkEnd w:id="191"/>
      <w:bookmarkEnd w:id="192"/>
      <w:bookmarkEnd w:id="193"/>
      <w:bookmarkEnd w:id="194"/>
      <w:bookmarkEnd w:id="195"/>
    </w:p>
    <w:p w14:paraId="162BC92E">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lang w:eastAsia="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C00000"/>
          <w:sz w:val="28"/>
          <w:szCs w:val="28"/>
          <w:lang w:val="en-US" w:eastAsia="zh-CN"/>
        </w:rPr>
        <w:t xml:space="preserve"> </w:t>
      </w:r>
      <w:r>
        <w:rPr>
          <w:rFonts w:hint="eastAsia" w:ascii="宋体" w:hAnsi="宋体" w:eastAsia="宋体" w:cs="宋体"/>
          <w:color w:val="auto"/>
          <w:sz w:val="28"/>
          <w:szCs w:val="28"/>
          <w:lang w:val="en-US" w:eastAsia="zh-CN"/>
        </w:rPr>
        <w:t>价格随国家政策调整</w:t>
      </w:r>
      <w:r>
        <w:rPr>
          <w:rFonts w:hint="eastAsia" w:ascii="宋体" w:hAnsi="宋体" w:eastAsia="宋体" w:cs="宋体"/>
          <w:color w:val="auto"/>
          <w:sz w:val="28"/>
          <w:szCs w:val="28"/>
          <w:u w:val="none"/>
          <w:lang w:eastAsia="zh-CN"/>
        </w:rPr>
        <w:t>。</w:t>
      </w:r>
    </w:p>
    <w:bookmarkEnd w:id="174"/>
    <w:bookmarkEnd w:id="175"/>
    <w:bookmarkEnd w:id="176"/>
    <w:bookmarkEnd w:id="177"/>
    <w:bookmarkEnd w:id="178"/>
    <w:bookmarkEnd w:id="179"/>
    <w:bookmarkEnd w:id="180"/>
    <w:bookmarkEnd w:id="181"/>
    <w:bookmarkEnd w:id="182"/>
    <w:bookmarkEnd w:id="183"/>
    <w:bookmarkEnd w:id="184"/>
    <w:bookmarkEnd w:id="185"/>
    <w:p w14:paraId="2F1073CB">
      <w:pPr>
        <w:pStyle w:val="3"/>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b w:val="0"/>
          <w:color w:val="auto"/>
          <w:sz w:val="28"/>
          <w:szCs w:val="28"/>
        </w:rPr>
      </w:pPr>
      <w:bookmarkStart w:id="196" w:name="_Toc186375358"/>
      <w:bookmarkStart w:id="197" w:name="_Toc36"/>
      <w:bookmarkStart w:id="198" w:name="_Toc8537"/>
      <w:bookmarkStart w:id="199" w:name="_Toc9508"/>
      <w:bookmarkStart w:id="200" w:name="_Toc236298795"/>
      <w:bookmarkStart w:id="201" w:name="_Toc1530_WPSOffice_Level1"/>
      <w:r>
        <w:rPr>
          <w:rFonts w:hint="eastAsia" w:ascii="宋体" w:hAnsi="宋体" w:eastAsia="宋体" w:cs="宋体"/>
          <w:bCs w:val="0"/>
          <w:color w:val="auto"/>
          <w:sz w:val="28"/>
          <w:szCs w:val="28"/>
          <w:lang w:val="en-US" w:eastAsia="zh-CN"/>
        </w:rPr>
        <w:t>8</w:t>
      </w:r>
      <w:r>
        <w:rPr>
          <w:rFonts w:hint="eastAsia" w:ascii="宋体" w:hAnsi="宋体" w:eastAsia="宋体" w:cs="宋体"/>
          <w:bCs w:val="0"/>
          <w:color w:val="auto"/>
          <w:sz w:val="28"/>
          <w:szCs w:val="28"/>
        </w:rPr>
        <w:t xml:space="preserve"> 结算</w:t>
      </w:r>
      <w:r>
        <w:rPr>
          <w:rFonts w:hint="eastAsia" w:ascii="宋体" w:hAnsi="宋体" w:eastAsia="宋体" w:cs="宋体"/>
          <w:bCs w:val="0"/>
          <w:color w:val="auto"/>
          <w:sz w:val="28"/>
          <w:szCs w:val="28"/>
          <w:lang w:val="en-US" w:eastAsia="zh-CN"/>
        </w:rPr>
        <w:t>与付款</w:t>
      </w:r>
      <w:r>
        <w:rPr>
          <w:rFonts w:hint="eastAsia" w:ascii="宋体" w:hAnsi="宋体" w:eastAsia="宋体" w:cs="宋体"/>
          <w:bCs w:val="0"/>
          <w:color w:val="auto"/>
          <w:sz w:val="28"/>
          <w:szCs w:val="28"/>
        </w:rPr>
        <w:t>方式</w:t>
      </w:r>
      <w:bookmarkEnd w:id="196"/>
      <w:bookmarkEnd w:id="197"/>
      <w:bookmarkEnd w:id="198"/>
      <w:bookmarkEnd w:id="199"/>
      <w:bookmarkEnd w:id="200"/>
      <w:bookmarkEnd w:id="201"/>
    </w:p>
    <w:p w14:paraId="750741D6">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.1双方同意每月</w:t>
      </w:r>
      <w:r>
        <w:rPr>
          <w:rFonts w:hint="eastAsia" w:ascii="宋体" w:hAnsi="宋体" w:eastAsia="宋体" w:cs="宋体"/>
          <w:color w:val="auto"/>
          <w:sz w:val="28"/>
          <w:szCs w:val="28"/>
          <w:highlight w:val="yellow"/>
          <w:lang w:val="en-US" w:eastAsia="zh-CN"/>
        </w:rPr>
        <w:t>月末前**天</w:t>
      </w:r>
      <w:r>
        <w:rPr>
          <w:rFonts w:hint="eastAsia" w:ascii="宋体" w:hAnsi="宋体" w:eastAsia="宋体" w:cs="宋体"/>
          <w:color w:val="auto"/>
          <w:sz w:val="28"/>
          <w:szCs w:val="28"/>
        </w:rPr>
        <w:t>进行结算（若抄表时间需变化双方另行协商）。</w:t>
      </w:r>
    </w:p>
    <w:p w14:paraId="78F03253">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.2 </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方向</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方支付水、电、汽费用，</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rPr>
        <w:t>向</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方提供增值税专用发票</w:t>
      </w:r>
      <w:r>
        <w:rPr>
          <w:rFonts w:hint="eastAsia" w:ascii="宋体" w:hAnsi="宋体" w:eastAsia="宋体" w:cs="宋体"/>
          <w:color w:val="auto"/>
          <w:sz w:val="28"/>
          <w:szCs w:val="28"/>
          <w:lang w:eastAsia="zh-CN"/>
        </w:rPr>
        <w:t>。</w:t>
      </w:r>
    </w:p>
    <w:p w14:paraId="78C09DCE">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pacing w:val="-2"/>
          <w:sz w:val="28"/>
          <w:szCs w:val="28"/>
        </w:rPr>
      </w:pPr>
      <w:bookmarkStart w:id="202" w:name="_Toc12349"/>
      <w:bookmarkStart w:id="203" w:name="_Toc24632"/>
      <w:bookmarkStart w:id="204" w:name="_Toc186375359"/>
      <w:bookmarkStart w:id="205" w:name="_Toc19688_WPSOffice_Level1"/>
      <w:bookmarkStart w:id="206" w:name="_Toc19821"/>
      <w:bookmarkStart w:id="207" w:name="_Toc236298796"/>
      <w:bookmarkStart w:id="208" w:name="_Toc24065837"/>
      <w:bookmarkStart w:id="209" w:name="_Toc799"/>
      <w:bookmarkStart w:id="210" w:name="_Toc10056"/>
      <w:r>
        <w:rPr>
          <w:rFonts w:hint="eastAsia" w:ascii="宋体" w:hAnsi="宋体" w:eastAsia="宋体" w:cs="宋体"/>
          <w:bCs w:val="0"/>
          <w:color w:val="auto"/>
          <w:sz w:val="28"/>
          <w:szCs w:val="28"/>
          <w:lang w:val="en-US" w:eastAsia="zh-CN"/>
        </w:rPr>
        <w:t>9</w:t>
      </w:r>
      <w:r>
        <w:rPr>
          <w:rFonts w:hint="eastAsia" w:ascii="宋体" w:hAnsi="宋体" w:eastAsia="宋体" w:cs="宋体"/>
          <w:bCs w:val="0"/>
          <w:color w:val="auto"/>
          <w:sz w:val="28"/>
          <w:szCs w:val="28"/>
        </w:rPr>
        <w:t xml:space="preserve"> 责任范围</w:t>
      </w:r>
      <w:bookmarkEnd w:id="202"/>
      <w:bookmarkEnd w:id="203"/>
      <w:bookmarkEnd w:id="204"/>
      <w:bookmarkEnd w:id="205"/>
      <w:bookmarkEnd w:id="206"/>
      <w:bookmarkEnd w:id="207"/>
      <w:bookmarkEnd w:id="208"/>
      <w:bookmarkEnd w:id="209"/>
      <w:bookmarkEnd w:id="210"/>
    </w:p>
    <w:p w14:paraId="511F7D0D">
      <w:pPr>
        <w:pageBreakBefore w:val="0"/>
        <w:widowControl w:val="0"/>
        <w:kinsoku/>
        <w:wordWrap/>
        <w:overflowPunct/>
        <w:topLinePunct w:val="0"/>
        <w:bidi w:val="0"/>
        <w:spacing w:beforeAutospacing="0" w:afterAutospacing="0" w:line="360" w:lineRule="auto"/>
        <w:textAlignment w:val="auto"/>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rPr>
        <w:t>9</w:t>
      </w:r>
      <w:r>
        <w:rPr>
          <w:rFonts w:hint="eastAsia" w:ascii="宋体" w:hAnsi="宋体" w:eastAsia="宋体" w:cs="宋体"/>
          <w:color w:val="auto"/>
          <w:kern w:val="2"/>
          <w:sz w:val="28"/>
          <w:szCs w:val="28"/>
        </w:rPr>
        <w:t>.</w:t>
      </w:r>
      <w:r>
        <w:rPr>
          <w:rFonts w:hint="eastAsia" w:ascii="宋体" w:hAnsi="宋体" w:eastAsia="宋体" w:cs="宋体"/>
          <w:color w:val="auto"/>
          <w:kern w:val="2"/>
          <w:sz w:val="28"/>
          <w:szCs w:val="28"/>
          <w:lang w:val="en-US" w:eastAsia="zh-CN"/>
        </w:rPr>
        <w:t>1</w:t>
      </w:r>
      <w:r>
        <w:rPr>
          <w:rFonts w:hint="eastAsia" w:ascii="宋体" w:hAnsi="宋体" w:eastAsia="宋体" w:cs="宋体"/>
          <w:color w:val="auto"/>
          <w:kern w:val="2"/>
          <w:sz w:val="28"/>
          <w:szCs w:val="28"/>
        </w:rPr>
        <w:t xml:space="preserve">  如因</w:t>
      </w:r>
      <w:r>
        <w:rPr>
          <w:rFonts w:hint="eastAsia" w:ascii="宋体" w:hAnsi="宋体" w:eastAsia="宋体" w:cs="宋体"/>
          <w:color w:val="auto"/>
          <w:kern w:val="2"/>
          <w:sz w:val="28"/>
          <w:szCs w:val="28"/>
          <w:lang w:val="en-US" w:eastAsia="zh-CN"/>
        </w:rPr>
        <w:t>甲</w:t>
      </w:r>
      <w:r>
        <w:rPr>
          <w:rFonts w:hint="eastAsia" w:ascii="宋体" w:hAnsi="宋体" w:eastAsia="宋体" w:cs="宋体"/>
          <w:color w:val="auto"/>
          <w:kern w:val="2"/>
          <w:sz w:val="28"/>
          <w:szCs w:val="28"/>
        </w:rPr>
        <w:t>方</w:t>
      </w:r>
      <w:r>
        <w:rPr>
          <w:rFonts w:hint="eastAsia" w:ascii="宋体" w:hAnsi="宋体" w:eastAsia="宋体" w:cs="宋体"/>
          <w:color w:val="auto"/>
          <w:kern w:val="2"/>
          <w:sz w:val="28"/>
          <w:szCs w:val="28"/>
          <w:lang w:val="en-US" w:eastAsia="zh-CN"/>
        </w:rPr>
        <w:t>直接责任</w:t>
      </w:r>
      <w:r>
        <w:rPr>
          <w:rFonts w:hint="eastAsia" w:ascii="宋体" w:hAnsi="宋体" w:eastAsia="宋体" w:cs="宋体"/>
          <w:color w:val="auto"/>
          <w:kern w:val="2"/>
          <w:sz w:val="28"/>
          <w:szCs w:val="28"/>
        </w:rPr>
        <w:t>造成</w:t>
      </w:r>
      <w:r>
        <w:rPr>
          <w:rFonts w:hint="eastAsia" w:ascii="宋体" w:hAnsi="宋体" w:eastAsia="宋体" w:cs="宋体"/>
          <w:color w:val="auto"/>
          <w:kern w:val="2"/>
          <w:sz w:val="28"/>
          <w:szCs w:val="28"/>
          <w:lang w:val="en-US" w:eastAsia="zh-CN"/>
        </w:rPr>
        <w:t>制氧机</w:t>
      </w:r>
      <w:r>
        <w:rPr>
          <w:rFonts w:hint="eastAsia" w:ascii="宋体" w:hAnsi="宋体" w:eastAsia="宋体" w:cs="宋体"/>
          <w:color w:val="auto"/>
          <w:kern w:val="2"/>
          <w:sz w:val="28"/>
          <w:szCs w:val="28"/>
        </w:rPr>
        <w:t>停车，</w:t>
      </w:r>
      <w:r>
        <w:rPr>
          <w:rFonts w:hint="eastAsia" w:ascii="宋体" w:hAnsi="宋体" w:eastAsia="宋体" w:cs="宋体"/>
          <w:color w:val="auto"/>
          <w:kern w:val="2"/>
          <w:sz w:val="28"/>
          <w:szCs w:val="28"/>
          <w:lang w:val="en-US" w:eastAsia="zh-CN"/>
        </w:rPr>
        <w:t>制氧机</w:t>
      </w:r>
      <w:r>
        <w:rPr>
          <w:rFonts w:hint="eastAsia" w:ascii="宋体" w:hAnsi="宋体" w:eastAsia="宋体" w:cs="宋体"/>
          <w:color w:val="auto"/>
          <w:kern w:val="2"/>
          <w:sz w:val="28"/>
          <w:szCs w:val="28"/>
        </w:rPr>
        <w:t>开机至正常供气期间的水、电、汽费全部由</w:t>
      </w:r>
      <w:r>
        <w:rPr>
          <w:rFonts w:hint="eastAsia" w:ascii="宋体" w:hAnsi="宋体" w:eastAsia="宋体" w:cs="宋体"/>
          <w:color w:val="auto"/>
          <w:kern w:val="2"/>
          <w:sz w:val="28"/>
          <w:szCs w:val="28"/>
          <w:lang w:val="en-US" w:eastAsia="zh-CN"/>
        </w:rPr>
        <w:t>甲</w:t>
      </w:r>
      <w:r>
        <w:rPr>
          <w:rFonts w:hint="eastAsia" w:ascii="宋体" w:hAnsi="宋体" w:eastAsia="宋体" w:cs="宋体"/>
          <w:color w:val="auto"/>
          <w:kern w:val="2"/>
          <w:sz w:val="28"/>
          <w:szCs w:val="28"/>
        </w:rPr>
        <w:t>方承担。</w:t>
      </w:r>
    </w:p>
    <w:p w14:paraId="447189DF">
      <w:pPr>
        <w:pageBreakBefore w:val="0"/>
        <w:widowControl w:val="0"/>
        <w:numPr>
          <w:ilvl w:val="0"/>
          <w:numId w:val="0"/>
        </w:numPr>
        <w:kinsoku/>
        <w:wordWrap/>
        <w:overflowPunct/>
        <w:topLinePunct w:val="0"/>
        <w:autoSpaceDE/>
        <w:autoSpaceDN/>
        <w:bidi w:val="0"/>
        <w:snapToGrid w:val="0"/>
        <w:spacing w:line="360" w:lineRule="auto"/>
        <w:contextualSpacing/>
        <w:jc w:val="both"/>
        <w:textAlignment w:val="auto"/>
        <w:rPr>
          <w:rFonts w:hint="eastAsia" w:ascii="宋体" w:hAnsi="宋体" w:eastAsia="宋体" w:cs="宋体"/>
          <w:sz w:val="28"/>
          <w:szCs w:val="28"/>
          <w:lang w:val="en-US" w:eastAsia="zh-CN"/>
        </w:rPr>
      </w:pPr>
      <w:r>
        <w:rPr>
          <w:rFonts w:hint="eastAsia" w:ascii="宋体" w:hAnsi="宋体" w:eastAsia="宋体" w:cs="宋体"/>
          <w:color w:val="auto"/>
          <w:kern w:val="2"/>
          <w:sz w:val="28"/>
          <w:szCs w:val="28"/>
          <w:lang w:val="en-US" w:eastAsia="zh-CN"/>
        </w:rPr>
        <w:t xml:space="preserve">9.2  </w:t>
      </w:r>
      <w:r>
        <w:rPr>
          <w:rFonts w:hint="eastAsia" w:ascii="宋体" w:hAnsi="宋体" w:eastAsia="宋体" w:cs="宋体"/>
          <w:bCs w:val="0"/>
          <w:kern w:val="2"/>
          <w:sz w:val="28"/>
          <w:szCs w:val="28"/>
          <w:lang w:val="en-US" w:eastAsia="zh-CN"/>
        </w:rPr>
        <w:t>如果甲方无法供应符合规格的公用工程介质时，甲方应立即通知乙方，在该等公用工程介质供应不会导致乙方停车或产生安全危险的情况下，乙方应继续保持制氧机装置开车。</w:t>
      </w:r>
    </w:p>
    <w:p w14:paraId="642C81CB">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9.3</w:t>
      </w:r>
      <w:r>
        <w:rPr>
          <w:rFonts w:hint="eastAsia" w:ascii="宋体" w:hAnsi="宋体" w:eastAsia="宋体" w:cs="宋体"/>
          <w:color w:val="auto"/>
          <w:sz w:val="28"/>
          <w:szCs w:val="28"/>
        </w:rPr>
        <w:t xml:space="preserve"> 双方都应对各自场地内的财产和人员可能面临的损害或风险购买适当且充足的商业保险。双方</w:t>
      </w:r>
      <w:r>
        <w:rPr>
          <w:rFonts w:hint="eastAsia" w:ascii="宋体" w:hAnsi="宋体" w:eastAsia="宋体" w:cs="宋体"/>
          <w:color w:val="auto"/>
          <w:sz w:val="28"/>
          <w:szCs w:val="28"/>
          <w:lang w:val="en-US" w:eastAsia="zh-CN"/>
        </w:rPr>
        <w:t>对</w:t>
      </w:r>
      <w:r>
        <w:rPr>
          <w:rFonts w:hint="eastAsia" w:ascii="宋体" w:hAnsi="宋体" w:eastAsia="宋体" w:cs="宋体"/>
          <w:color w:val="auto"/>
          <w:sz w:val="28"/>
          <w:szCs w:val="28"/>
        </w:rPr>
        <w:t>各自的场地内的财产和人员安全负责。</w:t>
      </w:r>
    </w:p>
    <w:p w14:paraId="31A831FF">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211" w:name="_Toc18133"/>
      <w:bookmarkStart w:id="212" w:name="_Toc15166"/>
      <w:bookmarkStart w:id="213" w:name="_Toc24065838"/>
      <w:bookmarkStart w:id="214" w:name="_Toc31577"/>
      <w:bookmarkStart w:id="215" w:name="_Toc29733"/>
      <w:bookmarkStart w:id="216" w:name="_Toc17238"/>
      <w:bookmarkStart w:id="217" w:name="_Toc236298797"/>
      <w:bookmarkStart w:id="218" w:name="_Toc26891_WPSOffice_Level1"/>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0</w:t>
      </w:r>
      <w:r>
        <w:rPr>
          <w:rFonts w:hint="eastAsia" w:ascii="宋体" w:hAnsi="宋体" w:eastAsia="宋体" w:cs="宋体"/>
          <w:bCs w:val="0"/>
          <w:color w:val="auto"/>
          <w:sz w:val="28"/>
          <w:szCs w:val="28"/>
        </w:rPr>
        <w:t xml:space="preserve"> 生产计划的制定与组织实施</w:t>
      </w:r>
      <w:bookmarkEnd w:id="211"/>
      <w:bookmarkEnd w:id="212"/>
      <w:bookmarkEnd w:id="213"/>
      <w:bookmarkEnd w:id="214"/>
      <w:bookmarkEnd w:id="215"/>
      <w:bookmarkEnd w:id="216"/>
      <w:bookmarkEnd w:id="217"/>
      <w:bookmarkEnd w:id="218"/>
      <w:r>
        <w:rPr>
          <w:rFonts w:hint="eastAsia" w:ascii="宋体" w:hAnsi="宋体" w:eastAsia="宋体" w:cs="宋体"/>
          <w:bCs w:val="0"/>
          <w:color w:val="auto"/>
          <w:sz w:val="28"/>
          <w:szCs w:val="28"/>
        </w:rPr>
        <w:t xml:space="preserve"> </w:t>
      </w:r>
    </w:p>
    <w:p w14:paraId="52CC9BD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0</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双方日常生产的组织实施由双方的生产调度部门协调解决，</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方听从</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方的调度指令。</w:t>
      </w:r>
    </w:p>
    <w:p w14:paraId="5F608B5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0</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2甲方公用工程介质系统检修或出现故障将会影响乙方正产生产时，甲</w:t>
      </w:r>
      <w:r>
        <w:rPr>
          <w:rFonts w:hint="eastAsia" w:ascii="宋体" w:hAnsi="宋体" w:eastAsia="宋体" w:cs="宋体"/>
          <w:color w:val="auto"/>
          <w:sz w:val="28"/>
          <w:szCs w:val="28"/>
        </w:rPr>
        <w:t>方应及时通知</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w:t>
      </w:r>
      <w:r>
        <w:rPr>
          <w:rFonts w:hint="eastAsia" w:ascii="宋体" w:hAnsi="宋体" w:eastAsia="宋体" w:cs="宋体"/>
          <w:color w:val="auto"/>
          <w:sz w:val="28"/>
          <w:szCs w:val="28"/>
          <w:lang w:val="en-US" w:eastAsia="zh-CN"/>
        </w:rPr>
        <w:t>乙</w:t>
      </w:r>
      <w:r>
        <w:rPr>
          <w:rFonts w:hint="eastAsia" w:ascii="宋体" w:hAnsi="宋体" w:eastAsia="宋体" w:cs="宋体"/>
          <w:color w:val="auto"/>
          <w:sz w:val="28"/>
          <w:szCs w:val="28"/>
        </w:rPr>
        <w:t>方</w:t>
      </w:r>
      <w:r>
        <w:rPr>
          <w:rFonts w:hint="eastAsia" w:ascii="宋体" w:hAnsi="宋体" w:eastAsia="宋体" w:cs="宋体"/>
          <w:color w:val="auto"/>
          <w:sz w:val="28"/>
          <w:szCs w:val="28"/>
          <w:lang w:val="en-US" w:eastAsia="zh-CN"/>
        </w:rPr>
        <w:t>采取措施</w:t>
      </w:r>
      <w:r>
        <w:rPr>
          <w:rFonts w:hint="eastAsia" w:ascii="宋体" w:hAnsi="宋体" w:eastAsia="宋体" w:cs="宋体"/>
          <w:color w:val="auto"/>
          <w:sz w:val="28"/>
          <w:szCs w:val="28"/>
        </w:rPr>
        <w:t>。</w:t>
      </w:r>
    </w:p>
    <w:p w14:paraId="48516026">
      <w:pPr>
        <w:pStyle w:val="3"/>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8"/>
          <w:szCs w:val="28"/>
        </w:rPr>
      </w:pPr>
      <w:bookmarkStart w:id="219" w:name="_Toc3834"/>
      <w:bookmarkStart w:id="220" w:name="_Toc4097"/>
      <w:bookmarkStart w:id="221" w:name="_Toc30948"/>
      <w:bookmarkStart w:id="222" w:name="_Toc24999"/>
      <w:bookmarkStart w:id="223" w:name="_Toc22881"/>
      <w:bookmarkStart w:id="224" w:name="_Toc236298798"/>
      <w:bookmarkStart w:id="225" w:name="_Toc30478_WPSOffice_Level1"/>
      <w:bookmarkStart w:id="226" w:name="_Toc24065839"/>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1</w:t>
      </w:r>
      <w:r>
        <w:rPr>
          <w:rFonts w:hint="eastAsia" w:ascii="宋体" w:hAnsi="宋体" w:eastAsia="宋体" w:cs="宋体"/>
          <w:bCs w:val="0"/>
          <w:color w:val="auto"/>
          <w:sz w:val="28"/>
          <w:szCs w:val="28"/>
        </w:rPr>
        <w:t xml:space="preserve"> 保险</w:t>
      </w:r>
      <w:bookmarkEnd w:id="219"/>
      <w:bookmarkEnd w:id="220"/>
      <w:bookmarkEnd w:id="221"/>
      <w:bookmarkEnd w:id="222"/>
      <w:bookmarkEnd w:id="223"/>
      <w:bookmarkEnd w:id="224"/>
      <w:bookmarkEnd w:id="225"/>
      <w:bookmarkEnd w:id="226"/>
    </w:p>
    <w:p w14:paraId="344B97A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.1 双方各自需投保一份全面的常规的责任保险。</w:t>
      </w:r>
    </w:p>
    <w:p w14:paraId="4D2E3D4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pacing w:val="-2"/>
          <w:sz w:val="28"/>
          <w:szCs w:val="28"/>
          <w14:shadow w14:blurRad="50800" w14:dist="38100" w14:dir="2700000" w14:sx="100000" w14:sy="100000" w14:kx="0" w14:ky="0" w14:algn="tl">
            <w14:srgbClr w14:val="000000">
              <w14:alpha w14:val="60001"/>
            </w14:srgbClr>
          </w14:shadow>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.2 双方对各自工厂投保财产险, 以便设备、管道和其他及与本合同相关的财产损失遭破坏后得到相应赔偿。</w:t>
      </w:r>
    </w:p>
    <w:p w14:paraId="22051735">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8"/>
          <w:szCs w:val="28"/>
        </w:rPr>
      </w:pPr>
      <w:bookmarkStart w:id="227" w:name="_Toc31439"/>
      <w:bookmarkStart w:id="228" w:name="_Toc13991"/>
      <w:bookmarkStart w:id="229" w:name="_Toc5029"/>
      <w:bookmarkStart w:id="230" w:name="_Toc767"/>
      <w:bookmarkStart w:id="231" w:name="_Toc24065841"/>
      <w:bookmarkStart w:id="232" w:name="_Toc236298800"/>
      <w:bookmarkStart w:id="233" w:name="_Toc17966_WPSOffice_Level1"/>
      <w:bookmarkStart w:id="234" w:name="_Toc30908"/>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2</w:t>
      </w:r>
      <w:r>
        <w:rPr>
          <w:rFonts w:hint="eastAsia" w:ascii="宋体" w:hAnsi="宋体" w:eastAsia="宋体" w:cs="宋体"/>
          <w:bCs w:val="0"/>
          <w:color w:val="auto"/>
          <w:sz w:val="28"/>
          <w:szCs w:val="28"/>
        </w:rPr>
        <w:t>合同期限</w:t>
      </w:r>
      <w:bookmarkEnd w:id="227"/>
      <w:bookmarkEnd w:id="228"/>
      <w:bookmarkEnd w:id="229"/>
      <w:bookmarkEnd w:id="230"/>
      <w:bookmarkEnd w:id="231"/>
      <w:bookmarkEnd w:id="232"/>
      <w:bookmarkEnd w:id="233"/>
      <w:bookmarkEnd w:id="234"/>
    </w:p>
    <w:p w14:paraId="6B26FE70">
      <w:pPr>
        <w:pStyle w:val="18"/>
        <w:pageBreakBefore w:val="0"/>
        <w:kinsoku/>
        <w:wordWrap/>
        <w:overflowPunct/>
        <w:topLinePunct w:val="0"/>
        <w:bidi w:val="0"/>
        <w:spacing w:beforeAutospacing="0" w:afterAutospacing="0" w:line="360" w:lineRule="auto"/>
        <w:ind w:firstLine="560" w:firstLineChars="200"/>
        <w:textAlignment w:val="auto"/>
        <w:rPr>
          <w:rFonts w:hint="default" w:ascii="宋体" w:hAnsi="宋体" w:eastAsia="宋体" w:cs="宋体"/>
          <w:color w:val="auto"/>
          <w:sz w:val="28"/>
          <w:szCs w:val="28"/>
          <w:highlight w:val="yellow"/>
          <w:lang w:val="en-US"/>
        </w:rPr>
      </w:pPr>
      <w:bookmarkStart w:id="235" w:name="_Toc365283507"/>
      <w:bookmarkStart w:id="236" w:name="_Toc359989430"/>
      <w:bookmarkStart w:id="237" w:name="_Toc186375363"/>
      <w:bookmarkStart w:id="238" w:name="_Toc360001613"/>
      <w:bookmarkStart w:id="239" w:name="_Toc369076065"/>
      <w:bookmarkStart w:id="240" w:name="_Toc369074887"/>
      <w:bookmarkStart w:id="241" w:name="_Toc360022218"/>
      <w:bookmarkStart w:id="242" w:name="_Toc369076191"/>
      <w:bookmarkStart w:id="243" w:name="_Toc369078153"/>
      <w:bookmarkStart w:id="244" w:name="_Toc360018867"/>
      <w:bookmarkStart w:id="245" w:name="_Toc359988219"/>
      <w:bookmarkStart w:id="246" w:name="_Toc367867534"/>
      <w:bookmarkStart w:id="247" w:name="_Toc369063959"/>
      <w:bookmarkStart w:id="248" w:name="_Toc84032857"/>
      <w:bookmarkStart w:id="249" w:name="_Toc369065760"/>
      <w:bookmarkStart w:id="250" w:name="_Toc368109902"/>
      <w:bookmarkStart w:id="251" w:name="_Toc367869535"/>
      <w:bookmarkStart w:id="252" w:name="_Toc360000801"/>
      <w:bookmarkStart w:id="253" w:name="_Toc359992692"/>
      <w:bookmarkStart w:id="254" w:name="_Toc365197086"/>
      <w:bookmarkStart w:id="255" w:name="_Toc365191286"/>
      <w:bookmarkStart w:id="256" w:name="_Toc365197768"/>
      <w:bookmarkStart w:id="257" w:name="_Toc369064156"/>
      <w:r>
        <w:rPr>
          <w:rFonts w:hint="eastAsia" w:hAnsi="宋体" w:cs="宋体"/>
          <w:color w:val="auto"/>
          <w:sz w:val="28"/>
          <w:szCs w:val="28"/>
          <w:highlight w:val="none"/>
          <w:lang w:val="en-US" w:eastAsia="zh-CN"/>
        </w:rPr>
        <w:t>执行《工业气体供应合同》期限。</w:t>
      </w:r>
    </w:p>
    <w:p w14:paraId="5B6CC2E9">
      <w:pPr>
        <w:pStyle w:val="3"/>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8"/>
          <w:szCs w:val="28"/>
        </w:rPr>
      </w:pPr>
      <w:bookmarkStart w:id="258" w:name="_Toc326151379"/>
      <w:bookmarkStart w:id="259" w:name="_Toc11664"/>
      <w:bookmarkStart w:id="260" w:name="_Toc23559"/>
      <w:bookmarkStart w:id="261" w:name="_Toc30417"/>
      <w:bookmarkStart w:id="262" w:name="_Toc8442"/>
      <w:bookmarkStart w:id="263" w:name="_Toc24065842"/>
      <w:bookmarkStart w:id="264" w:name="_Toc21483"/>
      <w:bookmarkStart w:id="265" w:name="_Toc330385460"/>
      <w:bookmarkStart w:id="266" w:name="_Toc19461_WPSOffice_Level1"/>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不可抗力</w:t>
      </w:r>
      <w:bookmarkEnd w:id="258"/>
      <w:bookmarkEnd w:id="259"/>
      <w:bookmarkEnd w:id="260"/>
      <w:bookmarkEnd w:id="261"/>
      <w:bookmarkEnd w:id="262"/>
      <w:bookmarkEnd w:id="263"/>
      <w:bookmarkEnd w:id="264"/>
      <w:bookmarkEnd w:id="265"/>
      <w:bookmarkEnd w:id="266"/>
    </w:p>
    <w:p w14:paraId="1A48059E">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.1 “不可抗力”指一方或双方不能控制、不能预见或虽能预见但其发生和结果经合理努力仍不能避免且不能克服的事件。一方经营环境发生变化、项目搬迁不属于不可抗力。在本合同中，不可抗力事件包括但不限于下列事件：</w:t>
      </w:r>
    </w:p>
    <w:p w14:paraId="24B7C551">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rPr>
      </w:pPr>
      <w:bookmarkStart w:id="267" w:name="_Toc1225_WPSOffice_Level1"/>
      <w:r>
        <w:rPr>
          <w:rFonts w:hint="eastAsia" w:ascii="宋体" w:hAnsi="宋体" w:eastAsia="宋体" w:cs="宋体"/>
          <w:color w:val="auto"/>
          <w:sz w:val="28"/>
          <w:szCs w:val="28"/>
        </w:rPr>
        <w:t>A  战争、其他军事行动、重大内乱、封锁或禁令；</w:t>
      </w:r>
      <w:bookmarkEnd w:id="267"/>
    </w:p>
    <w:p w14:paraId="2EBDB931">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eastAsia="zh-CN"/>
        </w:rPr>
      </w:pPr>
      <w:bookmarkStart w:id="268" w:name="_Toc20439_WPSOffice_Level1"/>
      <w:r>
        <w:rPr>
          <w:rFonts w:hint="eastAsia" w:ascii="宋体" w:hAnsi="宋体" w:eastAsia="宋体" w:cs="宋体"/>
          <w:color w:val="auto"/>
          <w:sz w:val="28"/>
          <w:szCs w:val="28"/>
        </w:rPr>
        <w:t>B  自然灾害包括但不限于地震、火山爆发、山崩、泥石流、洪水或其他灾害</w:t>
      </w:r>
      <w:r>
        <w:rPr>
          <w:rFonts w:hint="eastAsia" w:ascii="宋体" w:hAnsi="宋体" w:eastAsia="宋体" w:cs="宋体"/>
          <w:color w:val="auto"/>
          <w:sz w:val="28"/>
          <w:szCs w:val="28"/>
          <w:lang w:eastAsia="zh-CN"/>
        </w:rPr>
        <w:t>；</w:t>
      </w:r>
      <w:bookmarkEnd w:id="268"/>
    </w:p>
    <w:p w14:paraId="3130207A">
      <w:pPr>
        <w:pStyle w:val="2"/>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val="en-US" w:eastAsia="zh-CN"/>
        </w:rPr>
      </w:pPr>
      <w:bookmarkStart w:id="269" w:name="_Toc21006_WPSOffice_Level1"/>
      <w:r>
        <w:rPr>
          <w:rFonts w:hint="eastAsia" w:ascii="宋体" w:hAnsi="宋体" w:eastAsia="宋体" w:cs="宋体"/>
          <w:color w:val="auto"/>
          <w:sz w:val="28"/>
          <w:szCs w:val="28"/>
          <w:lang w:val="en-US" w:eastAsia="zh-CN"/>
        </w:rPr>
        <w:t>C  罢工、闭厂、工人联合行动等；</w:t>
      </w:r>
      <w:bookmarkEnd w:id="269"/>
    </w:p>
    <w:p w14:paraId="19FD47E3">
      <w:pPr>
        <w:pStyle w:val="2"/>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val="en-US" w:eastAsia="zh-CN"/>
        </w:rPr>
      </w:pPr>
      <w:bookmarkStart w:id="270" w:name="_Toc5876_WPSOffice_Level1"/>
      <w:r>
        <w:rPr>
          <w:rFonts w:hint="eastAsia" w:ascii="宋体" w:hAnsi="宋体" w:eastAsia="宋体" w:cs="宋体"/>
          <w:color w:val="auto"/>
          <w:sz w:val="28"/>
          <w:szCs w:val="28"/>
          <w:lang w:val="en-US" w:eastAsia="zh-CN"/>
        </w:rPr>
        <w:t>D  政府法令或法律要求等不能合理预见、避免、克服的情形。</w:t>
      </w:r>
      <w:bookmarkEnd w:id="270"/>
    </w:p>
    <w:p w14:paraId="653EF431">
      <w:pPr>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.2 </w:t>
      </w:r>
      <w:r>
        <w:rPr>
          <w:rFonts w:hint="eastAsia" w:ascii="宋体" w:hAnsi="宋体" w:eastAsia="宋体" w:cs="宋体"/>
          <w:color w:val="auto"/>
          <w:sz w:val="28"/>
          <w:szCs w:val="28"/>
          <w:lang w:val="en-US" w:eastAsia="zh-CN"/>
        </w:rPr>
        <w:t>任何一方都不对由于不可抗力造成的违约负责</w:t>
      </w:r>
      <w:r>
        <w:rPr>
          <w:rFonts w:hint="eastAsia" w:ascii="宋体" w:hAnsi="宋体" w:eastAsia="宋体" w:cs="宋体"/>
          <w:color w:val="auto"/>
          <w:sz w:val="28"/>
          <w:szCs w:val="28"/>
          <w:lang w:eastAsia="zh-CN"/>
        </w:rPr>
        <w:t>。</w:t>
      </w:r>
      <w:bookmarkStart w:id="271" w:name="_Toc22743"/>
      <w:bookmarkStart w:id="272" w:name="_Toc1606"/>
      <w:bookmarkStart w:id="273" w:name="_Toc236298801"/>
      <w:bookmarkStart w:id="274" w:name="_Toc13845"/>
      <w:bookmarkStart w:id="275" w:name="_Toc16965"/>
      <w:bookmarkStart w:id="276" w:name="_Toc27992"/>
      <w:bookmarkStart w:id="277" w:name="_Toc24065843"/>
    </w:p>
    <w:p w14:paraId="2235E45E">
      <w:pPr>
        <w:pStyle w:val="3"/>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b w:val="0"/>
          <w:color w:val="auto"/>
          <w:spacing w:val="-2"/>
          <w:sz w:val="28"/>
          <w:szCs w:val="28"/>
          <w:lang w:val="en-GB"/>
        </w:rPr>
      </w:pPr>
      <w:bookmarkStart w:id="278" w:name="_Toc17553_WPSOffice_Level1"/>
      <w:r>
        <w:rPr>
          <w:rFonts w:hint="eastAsia" w:ascii="宋体" w:hAnsi="宋体" w:eastAsia="宋体" w:cs="宋体"/>
          <w:bCs w:val="0"/>
          <w:color w:val="auto"/>
          <w:sz w:val="28"/>
          <w:szCs w:val="28"/>
          <w:lang w:val="en-US" w:eastAsia="zh-CN"/>
        </w:rPr>
        <w:t>14</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71"/>
      <w:bookmarkEnd w:id="272"/>
      <w:bookmarkEnd w:id="273"/>
      <w:bookmarkEnd w:id="274"/>
      <w:bookmarkEnd w:id="275"/>
      <w:bookmarkEnd w:id="276"/>
      <w:bookmarkEnd w:id="277"/>
      <w:bookmarkStart w:id="279" w:name="_Toc186375364"/>
      <w:r>
        <w:rPr>
          <w:rFonts w:hint="eastAsia" w:ascii="宋体" w:hAnsi="宋体" w:eastAsia="宋体" w:cs="宋体"/>
          <w:bCs w:val="0"/>
          <w:color w:val="auto"/>
          <w:sz w:val="28"/>
          <w:szCs w:val="28"/>
        </w:rPr>
        <w:t>通知</w:t>
      </w:r>
      <w:bookmarkEnd w:id="278"/>
    </w:p>
    <w:p w14:paraId="6084D0B2">
      <w:pPr>
        <w:pageBreakBefore w:val="0"/>
        <w:widowControl w:val="0"/>
        <w:kinsoku/>
        <w:wordWrap/>
        <w:overflowPunct/>
        <w:topLinePunct w:val="0"/>
        <w:autoSpaceDE w:val="0"/>
        <w:autoSpaceDN w:val="0"/>
        <w:bidi w:val="0"/>
        <w:adjustRightInd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任何</w:t>
      </w:r>
      <w:r>
        <w:rPr>
          <w:rFonts w:hint="eastAsia" w:ascii="宋体" w:hAnsi="宋体" w:eastAsia="宋体" w:cs="宋体"/>
          <w:color w:val="auto"/>
          <w:sz w:val="28"/>
          <w:szCs w:val="28"/>
        </w:rPr>
        <w:t>本合同</w:t>
      </w:r>
      <w:r>
        <w:rPr>
          <w:rFonts w:hint="eastAsia" w:ascii="宋体" w:hAnsi="宋体" w:eastAsia="宋体" w:cs="宋体"/>
          <w:color w:val="auto"/>
          <w:sz w:val="28"/>
          <w:szCs w:val="28"/>
          <w:lang w:val="en-US" w:eastAsia="zh-CN"/>
        </w:rPr>
        <w:t>下发出或做出的通知、请求</w:t>
      </w:r>
      <w:r>
        <w:rPr>
          <w:rFonts w:hint="eastAsia" w:ascii="宋体" w:hAnsi="宋体" w:eastAsia="宋体" w:cs="宋体"/>
          <w:color w:val="auto"/>
          <w:sz w:val="28"/>
          <w:szCs w:val="28"/>
        </w:rPr>
        <w:t>或</w:t>
      </w:r>
      <w:r>
        <w:rPr>
          <w:rFonts w:hint="eastAsia" w:ascii="宋体" w:hAnsi="宋体" w:eastAsia="宋体" w:cs="宋体"/>
          <w:color w:val="auto"/>
          <w:sz w:val="28"/>
          <w:szCs w:val="28"/>
          <w:lang w:val="en-US" w:eastAsia="zh-CN"/>
        </w:rPr>
        <w:t>其他通讯</w:t>
      </w:r>
      <w:r>
        <w:rPr>
          <w:rFonts w:hint="eastAsia" w:ascii="宋体" w:hAnsi="宋体" w:eastAsia="宋体" w:cs="宋体"/>
          <w:color w:val="auto"/>
          <w:sz w:val="28"/>
          <w:szCs w:val="28"/>
        </w:rPr>
        <w:t>须以专人递交（在专人递交之日视为有效送达）、传真发送（在收件人确认收到传真之日视为有效送达）或者快递送达（收到信函之日视为有效送达)的方式发送到下述地址：</w:t>
      </w:r>
    </w:p>
    <w:p w14:paraId="2002FC08">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bookmarkStart w:id="280" w:name="_Toc27132_WPSOffice_Level1"/>
      <w:bookmarkStart w:id="281" w:name="_Toc20441_WPSOffice_Level1"/>
      <w:bookmarkStart w:id="282" w:name="_Toc18926_WPSOffice_Level1"/>
      <w:r>
        <w:rPr>
          <w:rFonts w:hint="eastAsia" w:ascii="宋体" w:hAnsi="宋体" w:eastAsia="宋体" w:cs="宋体"/>
          <w:color w:val="auto"/>
          <w:sz w:val="28"/>
          <w:szCs w:val="28"/>
        </w:rPr>
        <w:t>甲   方：</w:t>
      </w:r>
      <w:bookmarkEnd w:id="280"/>
      <w:bookmarkEnd w:id="281"/>
      <w:bookmarkEnd w:id="282"/>
    </w:p>
    <w:p w14:paraId="01F10C41">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通讯地址：                     邮编：</w:t>
      </w:r>
    </w:p>
    <w:p w14:paraId="73AB57F7">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收件人  ：                     电话：</w:t>
      </w:r>
    </w:p>
    <w:p w14:paraId="2A506F31">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传  真  ：                     E_mail:</w:t>
      </w:r>
    </w:p>
    <w:p w14:paraId="3BE67F4A">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p>
    <w:p w14:paraId="0602A547">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bookmarkStart w:id="283" w:name="_Toc17765_WPSOffice_Level1"/>
      <w:bookmarkStart w:id="284" w:name="_Toc10816_WPSOffice_Level1"/>
      <w:bookmarkStart w:id="285" w:name="_Toc669_WPSOffice_Level1"/>
      <w:r>
        <w:rPr>
          <w:rFonts w:hint="eastAsia" w:ascii="宋体" w:hAnsi="宋体" w:eastAsia="宋体" w:cs="宋体"/>
          <w:color w:val="auto"/>
          <w:sz w:val="28"/>
          <w:szCs w:val="28"/>
        </w:rPr>
        <w:t>乙   方：</w:t>
      </w:r>
      <w:bookmarkEnd w:id="283"/>
      <w:bookmarkEnd w:id="284"/>
      <w:bookmarkEnd w:id="285"/>
    </w:p>
    <w:p w14:paraId="38843C19">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通讯地址：                      邮编：</w:t>
      </w:r>
    </w:p>
    <w:p w14:paraId="419B500A">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收件人  ：                      电话：</w:t>
      </w:r>
    </w:p>
    <w:p w14:paraId="44EEF12A">
      <w:pPr>
        <w:pageBreakBefore w:val="0"/>
        <w:widowControl w:val="0"/>
        <w:kinsoku/>
        <w:wordWrap/>
        <w:overflowPunct/>
        <w:topLinePunct w:val="0"/>
        <w:autoSpaceDE w:val="0"/>
        <w:autoSpaceDN w:val="0"/>
        <w:bidi w:val="0"/>
        <w:adjustRightInd w:val="0"/>
        <w:spacing w:beforeAutospacing="0" w:afterAutospacing="0" w:line="360" w:lineRule="auto"/>
        <w:ind w:right="-19"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传  真  ：                      E_mail:</w:t>
      </w:r>
    </w:p>
    <w:p w14:paraId="5004386B">
      <w:pPr>
        <w:pageBreakBefore w:val="0"/>
        <w:widowControl w:val="0"/>
        <w:kinsoku/>
        <w:wordWrap/>
        <w:overflowPunct/>
        <w:topLinePunct w:val="0"/>
        <w:autoSpaceDE w:val="0"/>
        <w:autoSpaceDN w:val="0"/>
        <w:bidi w:val="0"/>
        <w:adjustRightInd w:val="0"/>
        <w:spacing w:beforeAutospacing="0" w:afterAutospacing="0" w:line="360" w:lineRule="auto"/>
        <w:ind w:left="540" w:leftChars="257"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一方的上述通信地址、接收人员发生变更，应在变更后7个工作日内书面通知对方，否则对方按照原地址送达的视为有效送达。</w:t>
      </w:r>
    </w:p>
    <w:p w14:paraId="25766138">
      <w:pPr>
        <w:pageBreakBefore w:val="0"/>
        <w:kinsoku/>
        <w:wordWrap/>
        <w:overflowPunct/>
        <w:topLinePunct w:val="0"/>
        <w:bidi w:val="0"/>
        <w:spacing w:beforeAutospacing="0" w:afterAutospacing="0" w:line="360" w:lineRule="auto"/>
        <w:textAlignment w:val="auto"/>
        <w:rPr>
          <w:rFonts w:hint="eastAsia" w:ascii="宋体" w:hAnsi="宋体" w:eastAsia="宋体" w:cs="宋体"/>
          <w:b/>
          <w:bCs/>
          <w:color w:val="auto"/>
          <w:kern w:val="44"/>
          <w:sz w:val="28"/>
          <w:szCs w:val="28"/>
        </w:rPr>
      </w:pPr>
    </w:p>
    <w:p w14:paraId="55483D88">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pacing w:val="-2"/>
          <w:sz w:val="28"/>
          <w:szCs w:val="28"/>
        </w:rPr>
      </w:pPr>
      <w:bookmarkStart w:id="286" w:name="_Toc26025"/>
      <w:bookmarkStart w:id="287" w:name="_Toc17128"/>
      <w:bookmarkStart w:id="288" w:name="_Toc236298802"/>
      <w:bookmarkStart w:id="289" w:name="_Toc24065844"/>
      <w:bookmarkStart w:id="290" w:name="_Toc3299_WPSOffice_Level1"/>
      <w:bookmarkStart w:id="291" w:name="_Toc1693"/>
      <w:bookmarkStart w:id="292" w:name="_Toc3379"/>
      <w:bookmarkStart w:id="293" w:name="_Toc8744"/>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5</w:t>
      </w:r>
      <w:r>
        <w:rPr>
          <w:rFonts w:hint="eastAsia" w:ascii="宋体" w:hAnsi="宋体" w:eastAsia="宋体" w:cs="宋体"/>
          <w:bCs w:val="0"/>
          <w:color w:val="auto"/>
          <w:sz w:val="28"/>
          <w:szCs w:val="28"/>
        </w:rPr>
        <w:t xml:space="preserve"> 保密</w:t>
      </w:r>
      <w:bookmarkEnd w:id="279"/>
      <w:bookmarkEnd w:id="286"/>
      <w:bookmarkEnd w:id="287"/>
      <w:bookmarkEnd w:id="288"/>
      <w:bookmarkEnd w:id="289"/>
      <w:bookmarkEnd w:id="290"/>
      <w:bookmarkEnd w:id="291"/>
      <w:bookmarkEnd w:id="292"/>
      <w:bookmarkEnd w:id="293"/>
    </w:p>
    <w:p w14:paraId="37F84E1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.1 本合同中，双方的与业务相关的信息或知识需相互保密，除法律规定外双方不得在未被对方的书面认可前将所获得的对方的知识或信息向第三方泄</w:t>
      </w:r>
      <w:r>
        <w:rPr>
          <w:rFonts w:hint="eastAsia" w:ascii="宋体" w:hAnsi="宋体" w:eastAsia="宋体" w:cs="宋体"/>
          <w:color w:val="auto"/>
          <w:sz w:val="28"/>
          <w:szCs w:val="28"/>
          <w:lang w:val="en-US" w:eastAsia="zh-CN"/>
        </w:rPr>
        <w:t>漏</w:t>
      </w:r>
      <w:r>
        <w:rPr>
          <w:rFonts w:hint="eastAsia" w:ascii="宋体" w:hAnsi="宋体" w:eastAsia="宋体" w:cs="宋体"/>
          <w:color w:val="auto"/>
          <w:sz w:val="28"/>
          <w:szCs w:val="28"/>
        </w:rPr>
        <w:t>。双方要努力保证从另一方获得的知识或信息不会被本方员工或分包商泄</w:t>
      </w:r>
      <w:r>
        <w:rPr>
          <w:rFonts w:hint="eastAsia" w:ascii="宋体" w:hAnsi="宋体" w:eastAsia="宋体" w:cs="宋体"/>
          <w:color w:val="auto"/>
          <w:sz w:val="28"/>
          <w:szCs w:val="28"/>
          <w:lang w:val="en-US" w:eastAsia="zh-CN"/>
        </w:rPr>
        <w:t>漏</w:t>
      </w:r>
      <w:r>
        <w:rPr>
          <w:rFonts w:hint="eastAsia" w:ascii="宋体" w:hAnsi="宋体" w:eastAsia="宋体" w:cs="宋体"/>
          <w:color w:val="auto"/>
          <w:sz w:val="28"/>
          <w:szCs w:val="28"/>
        </w:rPr>
        <w:t>。</w:t>
      </w:r>
    </w:p>
    <w:p w14:paraId="7957BD58">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.2 本条款的规定在合同到期或任何延期的终止后仍继续有效。</w:t>
      </w:r>
    </w:p>
    <w:p w14:paraId="04BC0C15">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8"/>
          <w:szCs w:val="28"/>
        </w:rPr>
      </w:pPr>
      <w:bookmarkStart w:id="294" w:name="_Toc22103"/>
      <w:bookmarkStart w:id="295" w:name="_Toc13100_WPSOffice_Level1"/>
      <w:bookmarkStart w:id="296" w:name="_Toc9596"/>
      <w:bookmarkStart w:id="297" w:name="_Toc236298803"/>
      <w:bookmarkStart w:id="298" w:name="_Toc24065845"/>
      <w:bookmarkStart w:id="299" w:name="_Toc9455"/>
      <w:bookmarkStart w:id="300" w:name="_Toc13088"/>
      <w:bookmarkStart w:id="301" w:name="_Toc30708"/>
      <w:bookmarkStart w:id="302" w:name="_Toc369065761"/>
      <w:bookmarkStart w:id="303" w:name="_Toc367867535"/>
      <w:bookmarkStart w:id="304" w:name="_Toc359988220"/>
      <w:bookmarkStart w:id="305" w:name="_Toc360001614"/>
      <w:bookmarkStart w:id="306" w:name="_Toc367869536"/>
      <w:bookmarkStart w:id="307" w:name="_Toc368109903"/>
      <w:bookmarkStart w:id="308" w:name="_Toc365283508"/>
      <w:bookmarkStart w:id="309" w:name="_Toc365197087"/>
      <w:bookmarkStart w:id="310" w:name="_Toc369078154"/>
      <w:bookmarkStart w:id="311" w:name="_Toc365197769"/>
      <w:bookmarkStart w:id="312" w:name="_Toc365191287"/>
      <w:bookmarkStart w:id="313" w:name="_Toc360022219"/>
      <w:bookmarkStart w:id="314" w:name="_Toc360000802"/>
      <w:bookmarkStart w:id="315" w:name="_Toc369063960"/>
      <w:bookmarkStart w:id="316" w:name="_Toc369074888"/>
      <w:bookmarkStart w:id="317" w:name="_Toc369076066"/>
      <w:bookmarkStart w:id="318" w:name="_Toc360018868"/>
      <w:bookmarkStart w:id="319" w:name="_Toc186375365"/>
      <w:bookmarkStart w:id="320" w:name="_Toc369076192"/>
      <w:bookmarkStart w:id="321" w:name="_Toc369064157"/>
      <w:bookmarkStart w:id="322" w:name="_Toc84032858"/>
      <w:bookmarkStart w:id="323" w:name="_Toc359992693"/>
      <w:bookmarkStart w:id="324" w:name="_Toc359989431"/>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6</w:t>
      </w:r>
      <w:r>
        <w:rPr>
          <w:rFonts w:hint="eastAsia" w:ascii="宋体" w:hAnsi="宋体" w:eastAsia="宋体" w:cs="宋体"/>
          <w:bCs w:val="0"/>
          <w:color w:val="auto"/>
          <w:sz w:val="28"/>
          <w:szCs w:val="28"/>
        </w:rPr>
        <w:t xml:space="preserve"> 转让</w:t>
      </w:r>
      <w:bookmarkEnd w:id="294"/>
      <w:bookmarkEnd w:id="295"/>
      <w:bookmarkEnd w:id="296"/>
      <w:bookmarkEnd w:id="297"/>
      <w:bookmarkEnd w:id="298"/>
      <w:bookmarkEnd w:id="299"/>
      <w:bookmarkEnd w:id="300"/>
      <w:bookmarkEnd w:id="301"/>
    </w:p>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14:paraId="4F33F41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rPr>
        <w:t>本合同有效期间，如双方或一方发生主体资格变动，由双方或一方新的权利、义务承继人继续履行本合同。</w:t>
      </w:r>
      <w:r>
        <w:rPr>
          <w:rFonts w:hint="eastAsia" w:ascii="宋体" w:hAnsi="宋体" w:eastAsia="宋体" w:cs="宋体"/>
          <w:color w:val="auto"/>
          <w:sz w:val="28"/>
          <w:szCs w:val="28"/>
        </w:rPr>
        <w:t>未经另一方事先书面同意,合同双方不得转让合同,或合同规定的权利或义务。</w:t>
      </w:r>
    </w:p>
    <w:p w14:paraId="22FC33FC">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 w:val="0"/>
          <w:color w:val="auto"/>
          <w:sz w:val="28"/>
          <w:szCs w:val="28"/>
        </w:rPr>
      </w:pPr>
      <w:bookmarkStart w:id="325" w:name="_Toc7194"/>
      <w:bookmarkStart w:id="326" w:name="_Toc10853"/>
      <w:bookmarkStart w:id="327" w:name="_Toc24065846"/>
      <w:bookmarkStart w:id="328" w:name="_Toc2952"/>
      <w:bookmarkStart w:id="329" w:name="_Toc24838"/>
      <w:bookmarkStart w:id="330" w:name="_Toc26583"/>
      <w:bookmarkStart w:id="331" w:name="_Toc236298804"/>
      <w:bookmarkStart w:id="332" w:name="_Toc27704_WPSOffice_Level1"/>
      <w:r>
        <w:rPr>
          <w:rFonts w:hint="eastAsia" w:ascii="宋体" w:hAnsi="宋体" w:eastAsia="宋体" w:cs="宋体"/>
          <w:bCs w:val="0"/>
          <w:color w:val="auto"/>
          <w:sz w:val="28"/>
          <w:szCs w:val="28"/>
        </w:rPr>
        <w:t>1</w:t>
      </w:r>
      <w:r>
        <w:rPr>
          <w:rFonts w:hint="eastAsia" w:ascii="宋体" w:hAnsi="宋体" w:eastAsia="宋体" w:cs="宋体"/>
          <w:bCs w:val="0"/>
          <w:color w:val="auto"/>
          <w:sz w:val="28"/>
          <w:szCs w:val="28"/>
          <w:lang w:val="en-US" w:eastAsia="zh-CN"/>
        </w:rPr>
        <w:t>7</w:t>
      </w:r>
      <w:r>
        <w:rPr>
          <w:rFonts w:hint="eastAsia" w:ascii="宋体" w:hAnsi="宋体" w:eastAsia="宋体" w:cs="宋体"/>
          <w:bCs w:val="0"/>
          <w:color w:val="auto"/>
          <w:sz w:val="28"/>
          <w:szCs w:val="28"/>
        </w:rPr>
        <w:t xml:space="preserve"> 适用法律-管辖</w:t>
      </w:r>
      <w:bookmarkEnd w:id="325"/>
      <w:bookmarkEnd w:id="326"/>
      <w:bookmarkEnd w:id="327"/>
      <w:bookmarkEnd w:id="328"/>
      <w:bookmarkEnd w:id="329"/>
      <w:bookmarkEnd w:id="330"/>
      <w:bookmarkEnd w:id="331"/>
      <w:bookmarkEnd w:id="332"/>
    </w:p>
    <w:p w14:paraId="49F7B2F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.1 本合同受中华人民共和国法律管辖。</w:t>
      </w:r>
    </w:p>
    <w:p w14:paraId="770F555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.2 本合同在履行过程中发生争议，双方协商解决，如协商不成，双方均应向</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rPr>
        <w:t>所在地人民法院提起诉讼。</w:t>
      </w:r>
    </w:p>
    <w:p w14:paraId="15A555F8">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333" w:name="_Toc6099"/>
      <w:bookmarkStart w:id="334" w:name="_Toc4515"/>
      <w:bookmarkStart w:id="335" w:name="_Toc26763"/>
      <w:bookmarkStart w:id="336" w:name="_Toc24065848"/>
      <w:bookmarkStart w:id="337" w:name="_Toc236298805"/>
      <w:bookmarkStart w:id="338" w:name="_Toc16865"/>
      <w:bookmarkStart w:id="339" w:name="_Toc21530"/>
      <w:bookmarkStart w:id="340" w:name="_Toc5837_WPSOffice_Level1"/>
      <w:r>
        <w:rPr>
          <w:rFonts w:hint="eastAsia" w:ascii="宋体" w:hAnsi="宋体" w:eastAsia="宋体" w:cs="宋体"/>
          <w:bCs w:val="0"/>
          <w:color w:val="auto"/>
          <w:sz w:val="28"/>
          <w:szCs w:val="28"/>
          <w:lang w:val="en-US" w:eastAsia="zh-CN"/>
        </w:rPr>
        <w:t>18</w:t>
      </w:r>
      <w:r>
        <w:rPr>
          <w:rFonts w:hint="eastAsia" w:ascii="宋体" w:hAnsi="宋体" w:eastAsia="宋体" w:cs="宋体"/>
          <w:bCs w:val="0"/>
          <w:color w:val="auto"/>
          <w:sz w:val="28"/>
          <w:szCs w:val="28"/>
        </w:rPr>
        <w:t>生效及其它</w:t>
      </w:r>
      <w:bookmarkEnd w:id="333"/>
      <w:bookmarkEnd w:id="334"/>
      <w:bookmarkEnd w:id="335"/>
      <w:bookmarkEnd w:id="336"/>
      <w:bookmarkEnd w:id="337"/>
      <w:bookmarkEnd w:id="338"/>
      <w:bookmarkEnd w:id="339"/>
      <w:bookmarkEnd w:id="340"/>
    </w:p>
    <w:p w14:paraId="1F061A4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.1本合同自双方</w:t>
      </w:r>
      <w:r>
        <w:rPr>
          <w:rFonts w:hint="eastAsia" w:ascii="宋体" w:hAnsi="宋体" w:eastAsia="宋体" w:cs="宋体"/>
          <w:color w:val="auto"/>
          <w:sz w:val="28"/>
          <w:szCs w:val="28"/>
          <w:lang w:eastAsia="zh-Hans"/>
        </w:rPr>
        <w:t>法定代表人或授权代表</w:t>
      </w:r>
      <w:r>
        <w:rPr>
          <w:rFonts w:hint="eastAsia" w:ascii="宋体" w:hAnsi="宋体" w:eastAsia="宋体" w:cs="宋体"/>
          <w:color w:val="auto"/>
          <w:sz w:val="28"/>
          <w:szCs w:val="28"/>
        </w:rPr>
        <w:t>签字、盖章之日起生效。一式八份，双方各执四份。</w:t>
      </w:r>
    </w:p>
    <w:p w14:paraId="7A65D75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 xml:space="preserve">.2 </w:t>
      </w:r>
      <w:r>
        <w:rPr>
          <w:rFonts w:hint="eastAsia" w:ascii="宋体" w:hAnsi="宋体" w:eastAsia="宋体" w:cs="宋体"/>
          <w:b w:val="0"/>
          <w:bCs w:val="0"/>
          <w:color w:val="auto"/>
          <w:sz w:val="28"/>
          <w:szCs w:val="28"/>
        </w:rPr>
        <w:t>本合同未尽事宜，由甲、乙双方协商解决。双方签订的补充协议，其补充协议与本合同具有同等的法律效力。</w:t>
      </w:r>
    </w:p>
    <w:p w14:paraId="2805912C">
      <w:pPr>
        <w:pStyle w:val="2"/>
        <w:rPr>
          <w:rFonts w:hint="eastAsia"/>
        </w:rPr>
      </w:pPr>
    </w:p>
    <w:p w14:paraId="7D1392C7">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bCs w:val="0"/>
          <w:color w:val="auto"/>
          <w:sz w:val="28"/>
          <w:szCs w:val="28"/>
        </w:rPr>
      </w:pPr>
      <w:bookmarkStart w:id="341" w:name="_Toc24065847"/>
      <w:bookmarkStart w:id="342" w:name="_Toc15665"/>
      <w:bookmarkStart w:id="343" w:name="_Toc20957"/>
      <w:bookmarkStart w:id="344" w:name="_Toc29187"/>
      <w:bookmarkStart w:id="345" w:name="_Toc21854"/>
      <w:bookmarkStart w:id="346" w:name="_Toc32544"/>
      <w:bookmarkStart w:id="347" w:name="_Toc18833_WPSOffice_Level1"/>
      <w:bookmarkStart w:id="348" w:name="_Toc84178972"/>
      <w:bookmarkStart w:id="349" w:name="_Toc85092015"/>
      <w:bookmarkStart w:id="350" w:name="_Toc236298806"/>
      <w:bookmarkStart w:id="351" w:name="_Toc85440416"/>
      <w:bookmarkStart w:id="352" w:name="_Toc186375369"/>
      <w:r>
        <w:rPr>
          <w:rFonts w:hint="eastAsia" w:ascii="宋体" w:hAnsi="宋体" w:eastAsia="宋体" w:cs="宋体"/>
          <w:bCs w:val="0"/>
          <w:color w:val="auto"/>
          <w:sz w:val="28"/>
          <w:szCs w:val="28"/>
          <w:lang w:val="en-US" w:eastAsia="zh-CN"/>
        </w:rPr>
        <w:t>19</w:t>
      </w:r>
      <w:r>
        <w:rPr>
          <w:rFonts w:hint="eastAsia" w:ascii="宋体" w:hAnsi="宋体" w:eastAsia="宋体" w:cs="宋体"/>
          <w:bCs w:val="0"/>
          <w:color w:val="auto"/>
          <w:sz w:val="28"/>
          <w:szCs w:val="28"/>
        </w:rPr>
        <w:t xml:space="preserve"> 合同</w:t>
      </w:r>
      <w:bookmarkEnd w:id="341"/>
      <w:bookmarkEnd w:id="342"/>
      <w:bookmarkEnd w:id="343"/>
      <w:bookmarkEnd w:id="344"/>
      <w:bookmarkEnd w:id="345"/>
      <w:r>
        <w:rPr>
          <w:rFonts w:hint="eastAsia" w:ascii="宋体" w:hAnsi="宋体" w:eastAsia="宋体" w:cs="宋体"/>
          <w:bCs w:val="0"/>
          <w:color w:val="auto"/>
          <w:sz w:val="28"/>
          <w:szCs w:val="28"/>
        </w:rPr>
        <w:t>附录</w:t>
      </w:r>
      <w:bookmarkEnd w:id="346"/>
      <w:bookmarkEnd w:id="347"/>
    </w:p>
    <w:p w14:paraId="461CBDB5">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8"/>
          <w:szCs w:val="28"/>
        </w:rPr>
      </w:pPr>
      <w:bookmarkStart w:id="353" w:name="_Toc16040_WPSOffice_Level1"/>
      <w:r>
        <w:rPr>
          <w:rFonts w:hint="eastAsia" w:ascii="宋体" w:hAnsi="宋体" w:eastAsia="宋体" w:cs="宋体"/>
          <w:color w:val="auto"/>
          <w:sz w:val="28"/>
          <w:szCs w:val="28"/>
        </w:rPr>
        <w:t>附录</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：双方相关建设内容的界定</w:t>
      </w:r>
      <w:bookmarkEnd w:id="353"/>
    </w:p>
    <w:p w14:paraId="3085560C">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14:paraId="565A41CF">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14:paraId="0B23C7C7">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r>
        <w:rPr>
          <w:rFonts w:hint="eastAsia" w:ascii="宋体" w:hAnsi="宋体" w:eastAsia="宋体" w:cs="宋体"/>
          <w:sz w:val="28"/>
          <w:szCs w:val="28"/>
        </w:rPr>
        <mc:AlternateContent>
          <mc:Choice Requires="wps">
            <w:drawing>
              <wp:anchor distT="45720" distB="45720" distL="114300" distR="114300" simplePos="0" relativeHeight="251660288" behindDoc="0" locked="0" layoutInCell="1" allowOverlap="1">
                <wp:simplePos x="0" y="0"/>
                <wp:positionH relativeFrom="column">
                  <wp:align>center</wp:align>
                </wp:positionH>
                <wp:positionV relativeFrom="paragraph">
                  <wp:posOffset>156845</wp:posOffset>
                </wp:positionV>
                <wp:extent cx="6188710" cy="3469005"/>
                <wp:effectExtent l="4445" t="4445" r="17145" b="12700"/>
                <wp:wrapSquare wrapText="bothSides"/>
                <wp:docPr id="1026" name="文本框 2"/>
                <wp:cNvGraphicFramePr/>
                <a:graphic xmlns:a="http://schemas.openxmlformats.org/drawingml/2006/main">
                  <a:graphicData uri="http://schemas.microsoft.com/office/word/2010/wordprocessingShape">
                    <wps:wsp>
                      <wps:cNvSpPr/>
                      <wps:spPr>
                        <a:xfrm>
                          <a:off x="0" y="0"/>
                          <a:ext cx="6188710" cy="3469004"/>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5B4FBC">
                            <w:pPr>
                              <w:rPr>
                                <w:color w:val="auto"/>
                                <w:sz w:val="28"/>
                                <w:szCs w:val="28"/>
                              </w:rPr>
                            </w:pPr>
                            <w:r>
                              <w:rPr>
                                <w:rFonts w:hint="eastAsia"/>
                                <w:color w:val="auto"/>
                                <w:sz w:val="28"/>
                                <w:szCs w:val="28"/>
                              </w:rPr>
                              <w:t>本页</w:t>
                            </w:r>
                            <w:r>
                              <w:rPr>
                                <w:color w:val="auto"/>
                                <w:sz w:val="28"/>
                                <w:szCs w:val="28"/>
                              </w:rPr>
                              <w:t>为签字页，以下无正文</w:t>
                            </w:r>
                          </w:p>
                          <w:p w14:paraId="06966E40">
                            <w:pPr>
                              <w:rPr>
                                <w:color w:val="auto"/>
                                <w:sz w:val="24"/>
                                <w:szCs w:val="24"/>
                              </w:rPr>
                            </w:pPr>
                          </w:p>
                          <w:p w14:paraId="69AD2084">
                            <w:pPr>
                              <w:rPr>
                                <w:color w:val="auto"/>
                                <w:sz w:val="24"/>
                                <w:szCs w:val="24"/>
                              </w:rPr>
                            </w:pPr>
                            <w:r>
                              <w:rPr>
                                <w:rFonts w:hint="eastAsia"/>
                                <w:color w:val="auto"/>
                                <w:sz w:val="24"/>
                                <w:szCs w:val="24"/>
                              </w:rPr>
                              <w:t>甲方                                                    乙方</w:t>
                            </w:r>
                          </w:p>
                          <w:p w14:paraId="499ACF20">
                            <w:pPr>
                              <w:rPr>
                                <w:color w:val="auto"/>
                                <w:sz w:val="24"/>
                                <w:szCs w:val="24"/>
                              </w:rPr>
                            </w:pPr>
                          </w:p>
                          <w:p w14:paraId="786A08DC">
                            <w:pPr>
                              <w:rPr>
                                <w:color w:val="auto"/>
                                <w:sz w:val="24"/>
                                <w:szCs w:val="24"/>
                              </w:rPr>
                            </w:pPr>
                          </w:p>
                          <w:p w14:paraId="2E9CD28A">
                            <w:pPr>
                              <w:rPr>
                                <w:color w:val="auto"/>
                                <w:sz w:val="24"/>
                                <w:szCs w:val="24"/>
                              </w:rPr>
                            </w:pPr>
                            <w:r>
                              <w:rPr>
                                <w:rFonts w:hint="eastAsia"/>
                                <w:color w:val="auto"/>
                                <w:sz w:val="24"/>
                                <w:szCs w:val="24"/>
                              </w:rPr>
                              <w:t xml:space="preserve">             </w:t>
                            </w:r>
                            <w:r>
                              <w:rPr>
                                <w:color w:val="auto"/>
                                <w:sz w:val="24"/>
                                <w:szCs w:val="24"/>
                              </w:rPr>
                              <w:t xml:space="preserve"> </w:t>
                            </w:r>
                          </w:p>
                          <w:p w14:paraId="1E285574">
                            <w:pPr>
                              <w:rPr>
                                <w:color w:val="auto"/>
                                <w:sz w:val="24"/>
                                <w:szCs w:val="24"/>
                              </w:rPr>
                            </w:pPr>
                          </w:p>
                          <w:p w14:paraId="17EC9C6C">
                            <w:pPr>
                              <w:rPr>
                                <w:color w:val="auto"/>
                                <w:sz w:val="24"/>
                                <w:szCs w:val="24"/>
                              </w:rPr>
                            </w:pPr>
                            <w:r>
                              <w:rPr>
                                <w:rFonts w:hint="eastAsia"/>
                                <w:color w:val="auto"/>
                                <w:sz w:val="24"/>
                                <w:szCs w:val="24"/>
                              </w:rPr>
                              <w:t xml:space="preserve">法定代表人：                        </w:t>
                            </w:r>
                            <w:r>
                              <w:rPr>
                                <w:color w:val="auto"/>
                                <w:sz w:val="24"/>
                                <w:szCs w:val="24"/>
                              </w:rPr>
                              <w:t xml:space="preserve">       </w:t>
                            </w:r>
                            <w:r>
                              <w:rPr>
                                <w:rFonts w:hint="eastAsia"/>
                                <w:color w:val="auto"/>
                                <w:sz w:val="24"/>
                                <w:szCs w:val="24"/>
                              </w:rPr>
                              <w:t xml:space="preserve"> 法定代表人：</w:t>
                            </w:r>
                          </w:p>
                          <w:p w14:paraId="47194712">
                            <w:pPr>
                              <w:rPr>
                                <w:color w:val="auto"/>
                                <w:sz w:val="24"/>
                                <w:szCs w:val="24"/>
                              </w:rPr>
                            </w:pPr>
                            <w:r>
                              <w:rPr>
                                <w:rFonts w:hint="eastAsia"/>
                                <w:color w:val="auto"/>
                                <w:sz w:val="24"/>
                                <w:szCs w:val="24"/>
                              </w:rPr>
                              <w:t xml:space="preserve"> </w:t>
                            </w:r>
                          </w:p>
                          <w:p w14:paraId="504D9003">
                            <w:pPr>
                              <w:rPr>
                                <w:color w:val="auto"/>
                                <w:sz w:val="24"/>
                                <w:szCs w:val="24"/>
                              </w:rPr>
                            </w:pPr>
                          </w:p>
                          <w:p w14:paraId="4DBBC7FE">
                            <w:pPr>
                              <w:rPr>
                                <w:color w:val="auto"/>
                                <w:sz w:val="24"/>
                                <w:szCs w:val="24"/>
                              </w:rPr>
                            </w:pPr>
                            <w:r>
                              <w:rPr>
                                <w:rFonts w:hint="eastAsia"/>
                                <w:color w:val="auto"/>
                                <w:sz w:val="24"/>
                                <w:szCs w:val="24"/>
                              </w:rPr>
                              <w:t>授权代表：</w:t>
                            </w:r>
                            <w:r>
                              <w:rPr>
                                <w:color w:val="auto"/>
                                <w:sz w:val="24"/>
                                <w:szCs w:val="24"/>
                              </w:rPr>
                              <w:t xml:space="preserve">                                 </w:t>
                            </w:r>
                            <w:r>
                              <w:rPr>
                                <w:rFonts w:hint="eastAsia"/>
                                <w:color w:val="auto"/>
                                <w:sz w:val="24"/>
                                <w:szCs w:val="24"/>
                              </w:rPr>
                              <w:t xml:space="preserve"> 授权代表：</w:t>
                            </w:r>
                          </w:p>
                          <w:p w14:paraId="795BF6C6">
                            <w:pPr>
                              <w:rPr>
                                <w:color w:val="auto"/>
                                <w:sz w:val="24"/>
                                <w:szCs w:val="24"/>
                              </w:rPr>
                            </w:pPr>
                            <w:r>
                              <w:rPr>
                                <w:rFonts w:hint="eastAsia"/>
                                <w:color w:val="auto"/>
                                <w:sz w:val="24"/>
                                <w:szCs w:val="24"/>
                              </w:rPr>
                              <w:t xml:space="preserve">                 </w:t>
                            </w:r>
                            <w:r>
                              <w:rPr>
                                <w:color w:val="auto"/>
                                <w:sz w:val="24"/>
                                <w:szCs w:val="24"/>
                              </w:rPr>
                              <w:t xml:space="preserve">      </w:t>
                            </w:r>
                          </w:p>
                          <w:p w14:paraId="2A001943">
                            <w:pPr>
                              <w:rPr>
                                <w:color w:val="auto"/>
                                <w:sz w:val="24"/>
                                <w:szCs w:val="24"/>
                              </w:rPr>
                            </w:pPr>
                            <w:r>
                              <w:rPr>
                                <w:color w:val="auto"/>
                                <w:sz w:val="24"/>
                                <w:szCs w:val="24"/>
                              </w:rPr>
                              <w:t xml:space="preserve">    </w:t>
                            </w:r>
                          </w:p>
                          <w:p w14:paraId="59414545">
                            <w:pPr>
                              <w:rPr>
                                <w:color w:val="auto"/>
                                <w:sz w:val="24"/>
                                <w:szCs w:val="24"/>
                              </w:rPr>
                            </w:pPr>
                            <w:r>
                              <w:rPr>
                                <w:rFonts w:hint="eastAsia"/>
                                <w:color w:val="auto"/>
                                <w:sz w:val="24"/>
                                <w:szCs w:val="24"/>
                              </w:rPr>
                              <w:t>日期：20   年  月   日</w:t>
                            </w:r>
                            <w:r>
                              <w:rPr>
                                <w:rFonts w:hint="eastAsia"/>
                                <w:color w:val="auto"/>
                                <w:sz w:val="24"/>
                                <w:szCs w:val="24"/>
                              </w:rPr>
                              <w:tab/>
                            </w:r>
                            <w:r>
                              <w:rPr>
                                <w:color w:val="auto"/>
                                <w:sz w:val="24"/>
                                <w:szCs w:val="24"/>
                              </w:rPr>
                              <w:t xml:space="preserve">  </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rect id="文本框 2" o:spid="_x0000_s1026" o:spt="1" style="position:absolute;left:0pt;margin-top:12.35pt;height:273.15pt;width:487.3pt;mso-position-horizontal:center;mso-wrap-distance-bottom:3.6pt;mso-wrap-distance-left:9pt;mso-wrap-distance-right:9pt;mso-wrap-distance-top:3.6pt;z-index:251660288;mso-width-relative:page;mso-height-relative:margin;mso-height-percent:200;" fillcolor="#FFFFFF" filled="t" stroked="t" coordsize="21600,21600" o:gfxdata="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lTgV3WAAAABwEAAA8AAAAAAAAA&#10;AQAgAAAAIgAAAGRycy9kb3ducmV2LnhtbFBLAQIUABQAAAAIAIdO4kAM0BeGEwIAAEoEAAAOAAAA&#10;AAAAAAEAIAAAACUBAABkcnMvZTJvRG9jLnhtbFBLBQYAAAAABgAGAFkBAACqBQAAAAA=&#10;">
                <v:fill on="t" focussize="0,0"/>
                <v:stroke color="#000000" joinstyle="miter"/>
                <v:imagedata o:title=""/>
                <o:lock v:ext="edit" aspectratio="f"/>
                <v:textbox style="mso-fit-shape-to-text:t;">
                  <w:txbxContent>
                    <w:p w14:paraId="2D5B4FBC">
                      <w:pPr>
                        <w:rPr>
                          <w:color w:val="auto"/>
                          <w:sz w:val="28"/>
                          <w:szCs w:val="28"/>
                        </w:rPr>
                      </w:pPr>
                      <w:r>
                        <w:rPr>
                          <w:rFonts w:hint="eastAsia"/>
                          <w:color w:val="auto"/>
                          <w:sz w:val="28"/>
                          <w:szCs w:val="28"/>
                        </w:rPr>
                        <w:t>本页</w:t>
                      </w:r>
                      <w:r>
                        <w:rPr>
                          <w:color w:val="auto"/>
                          <w:sz w:val="28"/>
                          <w:szCs w:val="28"/>
                        </w:rPr>
                        <w:t>为签字页，以下无正文</w:t>
                      </w:r>
                    </w:p>
                    <w:p w14:paraId="06966E40">
                      <w:pPr>
                        <w:rPr>
                          <w:color w:val="auto"/>
                          <w:sz w:val="24"/>
                          <w:szCs w:val="24"/>
                        </w:rPr>
                      </w:pPr>
                    </w:p>
                    <w:p w14:paraId="69AD2084">
                      <w:pPr>
                        <w:rPr>
                          <w:color w:val="auto"/>
                          <w:sz w:val="24"/>
                          <w:szCs w:val="24"/>
                        </w:rPr>
                      </w:pPr>
                      <w:r>
                        <w:rPr>
                          <w:rFonts w:hint="eastAsia"/>
                          <w:color w:val="auto"/>
                          <w:sz w:val="24"/>
                          <w:szCs w:val="24"/>
                        </w:rPr>
                        <w:t>甲方                                                    乙方</w:t>
                      </w:r>
                    </w:p>
                    <w:p w14:paraId="499ACF20">
                      <w:pPr>
                        <w:rPr>
                          <w:color w:val="auto"/>
                          <w:sz w:val="24"/>
                          <w:szCs w:val="24"/>
                        </w:rPr>
                      </w:pPr>
                    </w:p>
                    <w:p w14:paraId="786A08DC">
                      <w:pPr>
                        <w:rPr>
                          <w:color w:val="auto"/>
                          <w:sz w:val="24"/>
                          <w:szCs w:val="24"/>
                        </w:rPr>
                      </w:pPr>
                    </w:p>
                    <w:p w14:paraId="2E9CD28A">
                      <w:pPr>
                        <w:rPr>
                          <w:color w:val="auto"/>
                          <w:sz w:val="24"/>
                          <w:szCs w:val="24"/>
                        </w:rPr>
                      </w:pPr>
                      <w:r>
                        <w:rPr>
                          <w:rFonts w:hint="eastAsia"/>
                          <w:color w:val="auto"/>
                          <w:sz w:val="24"/>
                          <w:szCs w:val="24"/>
                        </w:rPr>
                        <w:t xml:space="preserve">             </w:t>
                      </w:r>
                      <w:r>
                        <w:rPr>
                          <w:color w:val="auto"/>
                          <w:sz w:val="24"/>
                          <w:szCs w:val="24"/>
                        </w:rPr>
                        <w:t xml:space="preserve"> </w:t>
                      </w:r>
                    </w:p>
                    <w:p w14:paraId="1E285574">
                      <w:pPr>
                        <w:rPr>
                          <w:color w:val="auto"/>
                          <w:sz w:val="24"/>
                          <w:szCs w:val="24"/>
                        </w:rPr>
                      </w:pPr>
                    </w:p>
                    <w:p w14:paraId="17EC9C6C">
                      <w:pPr>
                        <w:rPr>
                          <w:color w:val="auto"/>
                          <w:sz w:val="24"/>
                          <w:szCs w:val="24"/>
                        </w:rPr>
                      </w:pPr>
                      <w:r>
                        <w:rPr>
                          <w:rFonts w:hint="eastAsia"/>
                          <w:color w:val="auto"/>
                          <w:sz w:val="24"/>
                          <w:szCs w:val="24"/>
                        </w:rPr>
                        <w:t xml:space="preserve">法定代表人：                        </w:t>
                      </w:r>
                      <w:r>
                        <w:rPr>
                          <w:color w:val="auto"/>
                          <w:sz w:val="24"/>
                          <w:szCs w:val="24"/>
                        </w:rPr>
                        <w:t xml:space="preserve">       </w:t>
                      </w:r>
                      <w:r>
                        <w:rPr>
                          <w:rFonts w:hint="eastAsia"/>
                          <w:color w:val="auto"/>
                          <w:sz w:val="24"/>
                          <w:szCs w:val="24"/>
                        </w:rPr>
                        <w:t xml:space="preserve"> 法定代表人：</w:t>
                      </w:r>
                    </w:p>
                    <w:p w14:paraId="47194712">
                      <w:pPr>
                        <w:rPr>
                          <w:color w:val="auto"/>
                          <w:sz w:val="24"/>
                          <w:szCs w:val="24"/>
                        </w:rPr>
                      </w:pPr>
                      <w:r>
                        <w:rPr>
                          <w:rFonts w:hint="eastAsia"/>
                          <w:color w:val="auto"/>
                          <w:sz w:val="24"/>
                          <w:szCs w:val="24"/>
                        </w:rPr>
                        <w:t xml:space="preserve"> </w:t>
                      </w:r>
                    </w:p>
                    <w:p w14:paraId="504D9003">
                      <w:pPr>
                        <w:rPr>
                          <w:color w:val="auto"/>
                          <w:sz w:val="24"/>
                          <w:szCs w:val="24"/>
                        </w:rPr>
                      </w:pPr>
                    </w:p>
                    <w:p w14:paraId="4DBBC7FE">
                      <w:pPr>
                        <w:rPr>
                          <w:color w:val="auto"/>
                          <w:sz w:val="24"/>
                          <w:szCs w:val="24"/>
                        </w:rPr>
                      </w:pPr>
                      <w:r>
                        <w:rPr>
                          <w:rFonts w:hint="eastAsia"/>
                          <w:color w:val="auto"/>
                          <w:sz w:val="24"/>
                          <w:szCs w:val="24"/>
                        </w:rPr>
                        <w:t>授权代表：</w:t>
                      </w:r>
                      <w:r>
                        <w:rPr>
                          <w:color w:val="auto"/>
                          <w:sz w:val="24"/>
                          <w:szCs w:val="24"/>
                        </w:rPr>
                        <w:t xml:space="preserve">                                 </w:t>
                      </w:r>
                      <w:r>
                        <w:rPr>
                          <w:rFonts w:hint="eastAsia"/>
                          <w:color w:val="auto"/>
                          <w:sz w:val="24"/>
                          <w:szCs w:val="24"/>
                        </w:rPr>
                        <w:t xml:space="preserve"> 授权代表：</w:t>
                      </w:r>
                    </w:p>
                    <w:p w14:paraId="795BF6C6">
                      <w:pPr>
                        <w:rPr>
                          <w:color w:val="auto"/>
                          <w:sz w:val="24"/>
                          <w:szCs w:val="24"/>
                        </w:rPr>
                      </w:pPr>
                      <w:r>
                        <w:rPr>
                          <w:rFonts w:hint="eastAsia"/>
                          <w:color w:val="auto"/>
                          <w:sz w:val="24"/>
                          <w:szCs w:val="24"/>
                        </w:rPr>
                        <w:t xml:space="preserve">                 </w:t>
                      </w:r>
                      <w:r>
                        <w:rPr>
                          <w:color w:val="auto"/>
                          <w:sz w:val="24"/>
                          <w:szCs w:val="24"/>
                        </w:rPr>
                        <w:t xml:space="preserve">      </w:t>
                      </w:r>
                    </w:p>
                    <w:p w14:paraId="2A001943">
                      <w:pPr>
                        <w:rPr>
                          <w:color w:val="auto"/>
                          <w:sz w:val="24"/>
                          <w:szCs w:val="24"/>
                        </w:rPr>
                      </w:pPr>
                      <w:r>
                        <w:rPr>
                          <w:color w:val="auto"/>
                          <w:sz w:val="24"/>
                          <w:szCs w:val="24"/>
                        </w:rPr>
                        <w:t xml:space="preserve">    </w:t>
                      </w:r>
                    </w:p>
                    <w:p w14:paraId="59414545">
                      <w:pPr>
                        <w:rPr>
                          <w:color w:val="auto"/>
                          <w:sz w:val="24"/>
                          <w:szCs w:val="24"/>
                        </w:rPr>
                      </w:pPr>
                      <w:r>
                        <w:rPr>
                          <w:rFonts w:hint="eastAsia"/>
                          <w:color w:val="auto"/>
                          <w:sz w:val="24"/>
                          <w:szCs w:val="24"/>
                        </w:rPr>
                        <w:t>日期：20   年  月   日</w:t>
                      </w:r>
                      <w:r>
                        <w:rPr>
                          <w:rFonts w:hint="eastAsia"/>
                          <w:color w:val="auto"/>
                          <w:sz w:val="24"/>
                          <w:szCs w:val="24"/>
                        </w:rPr>
                        <w:tab/>
                      </w:r>
                      <w:r>
                        <w:rPr>
                          <w:color w:val="auto"/>
                          <w:sz w:val="24"/>
                          <w:szCs w:val="24"/>
                        </w:rPr>
                        <w:t xml:space="preserve">  </w:t>
                      </w:r>
                    </w:p>
                  </w:txbxContent>
                </v:textbox>
                <w10:wrap type="square"/>
              </v:rect>
            </w:pict>
          </mc:Fallback>
        </mc:AlternateContent>
      </w:r>
    </w:p>
    <w:p w14:paraId="46841CC2">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14:paraId="4B8A6A07">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14:paraId="2D415B94">
      <w:pPr>
        <w:pageBreakBefore w:val="0"/>
        <w:kinsoku/>
        <w:wordWrap/>
        <w:overflowPunct/>
        <w:topLinePunct w:val="0"/>
        <w:bidi w:val="0"/>
        <w:spacing w:beforeAutospacing="0" w:afterAutospacing="0" w:line="360" w:lineRule="auto"/>
        <w:textAlignment w:val="auto"/>
        <w:outlineLvl w:val="0"/>
        <w:rPr>
          <w:rFonts w:hint="eastAsia" w:ascii="宋体" w:hAnsi="宋体" w:eastAsia="宋体" w:cs="宋体"/>
          <w:b/>
          <w:color w:val="auto"/>
          <w:sz w:val="28"/>
          <w:szCs w:val="28"/>
        </w:rPr>
      </w:pPr>
    </w:p>
    <w:p w14:paraId="53FDD5A3">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rPr>
      </w:pPr>
      <w:bookmarkStart w:id="354" w:name="_Toc32531"/>
      <w:bookmarkStart w:id="355" w:name="_Toc18006"/>
      <w:bookmarkStart w:id="356" w:name="_Toc24065849"/>
      <w:r>
        <w:rPr>
          <w:rFonts w:hint="eastAsia" w:ascii="宋体" w:hAnsi="宋体" w:eastAsia="宋体" w:cs="宋体"/>
          <w:b/>
          <w:color w:val="auto"/>
          <w:sz w:val="28"/>
          <w:szCs w:val="28"/>
        </w:rPr>
        <w:br w:type="page"/>
      </w:r>
    </w:p>
    <w:bookmarkEnd w:id="348"/>
    <w:bookmarkEnd w:id="349"/>
    <w:bookmarkEnd w:id="350"/>
    <w:bookmarkEnd w:id="351"/>
    <w:bookmarkEnd w:id="352"/>
    <w:bookmarkEnd w:id="354"/>
    <w:bookmarkEnd w:id="355"/>
    <w:bookmarkEnd w:id="356"/>
    <w:p w14:paraId="50E286B2">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sz w:val="28"/>
          <w:szCs w:val="28"/>
        </w:rPr>
      </w:pPr>
      <w:bookmarkStart w:id="357" w:name="_Toc194460117"/>
    </w:p>
    <w:bookmarkEnd w:id="357"/>
    <w:p w14:paraId="49A9ACE3">
      <w:pPr>
        <w:pStyle w:val="3"/>
        <w:pageBreakBefore w:val="0"/>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8"/>
          <w:szCs w:val="28"/>
        </w:rPr>
      </w:pPr>
      <w:bookmarkStart w:id="358" w:name="_Toc2157_WPSOffice_Level1"/>
      <w:bookmarkStart w:id="359" w:name="_Toc24065852"/>
      <w:bookmarkStart w:id="360" w:name="_Toc20768"/>
      <w:bookmarkStart w:id="361" w:name="_Toc6689"/>
      <w:bookmarkStart w:id="362" w:name="_Toc32229"/>
      <w:bookmarkStart w:id="363" w:name="_Toc32273"/>
      <w:bookmarkStart w:id="364" w:name="_Toc19964"/>
      <w:bookmarkStart w:id="365" w:name="_Toc277921907"/>
      <w:r>
        <w:rPr>
          <w:rFonts w:hint="eastAsia" w:ascii="宋体" w:hAnsi="宋体" w:eastAsia="宋体" w:cs="宋体"/>
          <w:color w:val="auto"/>
          <w:sz w:val="28"/>
          <w:szCs w:val="28"/>
        </w:rPr>
        <w:t>附录</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 xml:space="preserve">  双方相关建设内容的界定</w:t>
      </w:r>
      <w:bookmarkEnd w:id="358"/>
      <w:bookmarkEnd w:id="359"/>
      <w:bookmarkEnd w:id="360"/>
      <w:bookmarkEnd w:id="361"/>
      <w:bookmarkEnd w:id="362"/>
      <w:bookmarkEnd w:id="363"/>
      <w:bookmarkEnd w:id="364"/>
      <w:bookmarkEnd w:id="365"/>
    </w:p>
    <w:p w14:paraId="39A11230">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双回路 </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KV 供电由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w:t>
      </w:r>
      <w:r>
        <w:rPr>
          <w:rFonts w:hint="eastAsia" w:ascii="宋体" w:hAnsi="宋体" w:eastAsia="宋体" w:cs="宋体"/>
          <w:color w:val="auto"/>
          <w:sz w:val="28"/>
          <w:szCs w:val="28"/>
          <w:lang w:val="en-US" w:eastAsia="zh-CN"/>
        </w:rPr>
        <w:t>送</w:t>
      </w:r>
      <w:r>
        <w:rPr>
          <w:rFonts w:hint="eastAsia" w:ascii="宋体" w:hAnsi="宋体" w:eastAsia="宋体" w:cs="宋体"/>
          <w:color w:val="auto"/>
          <w:sz w:val="28"/>
          <w:szCs w:val="28"/>
        </w:rPr>
        <w:t>至</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rPr>
        <w:t>进线柜，计量点为</w:t>
      </w:r>
      <w:r>
        <w:rPr>
          <w:rFonts w:hint="eastAsia" w:ascii="宋体" w:hAnsi="宋体" w:eastAsia="宋体" w:cs="宋体"/>
          <w:color w:val="auto"/>
          <w:sz w:val="28"/>
          <w:szCs w:val="28"/>
          <w:lang w:val="en-US" w:eastAsia="zh-CN"/>
        </w:rPr>
        <w:t>甲方出</w:t>
      </w:r>
      <w:r>
        <w:rPr>
          <w:rFonts w:hint="eastAsia" w:ascii="宋体" w:hAnsi="宋体" w:eastAsia="宋体" w:cs="宋体"/>
          <w:color w:val="auto"/>
          <w:sz w:val="28"/>
          <w:szCs w:val="28"/>
        </w:rPr>
        <w:t>线柜电度表。</w:t>
      </w:r>
    </w:p>
    <w:p w14:paraId="7F50BA34">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生产</w:t>
      </w:r>
      <w:r>
        <w:rPr>
          <w:rFonts w:hint="eastAsia" w:ascii="宋体" w:hAnsi="宋体" w:eastAsia="宋体" w:cs="宋体"/>
          <w:color w:val="auto"/>
          <w:sz w:val="28"/>
          <w:szCs w:val="28"/>
        </w:rPr>
        <w:t>水</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生活水、中</w:t>
      </w:r>
      <w:r>
        <w:rPr>
          <w:rFonts w:hint="eastAsia" w:ascii="宋体" w:hAnsi="宋体" w:eastAsia="宋体" w:cs="宋体"/>
          <w:color w:val="auto"/>
          <w:sz w:val="28"/>
          <w:szCs w:val="28"/>
        </w:rPr>
        <w:t>水、</w:t>
      </w:r>
      <w:r>
        <w:rPr>
          <w:rFonts w:hint="eastAsia" w:ascii="宋体" w:hAnsi="宋体" w:eastAsia="宋体" w:cs="宋体"/>
          <w:color w:val="auto"/>
          <w:sz w:val="28"/>
          <w:szCs w:val="28"/>
          <w:lang w:val="en-US" w:eastAsia="zh-CN"/>
        </w:rPr>
        <w:t>低压蒸汽、热水、软化水</w:t>
      </w:r>
      <w:r>
        <w:rPr>
          <w:rFonts w:hint="eastAsia" w:ascii="宋体" w:hAnsi="宋体" w:eastAsia="宋体" w:cs="宋体"/>
          <w:color w:val="auto"/>
          <w:sz w:val="28"/>
          <w:szCs w:val="28"/>
        </w:rPr>
        <w:t>管路</w:t>
      </w:r>
      <w:r>
        <w:rPr>
          <w:rFonts w:hint="eastAsia" w:ascii="宋体" w:hAnsi="宋体" w:eastAsia="宋体" w:cs="宋体"/>
          <w:color w:val="auto"/>
          <w:sz w:val="28"/>
          <w:szCs w:val="28"/>
          <w:lang w:val="en-US" w:eastAsia="zh-CN"/>
        </w:rPr>
        <w:t>气体公司厂界外</w:t>
      </w:r>
      <w:r>
        <w:rPr>
          <w:rFonts w:hint="eastAsia" w:ascii="宋体" w:hAnsi="宋体" w:eastAsia="宋体" w:cs="宋体"/>
          <w:color w:val="auto"/>
          <w:sz w:val="28"/>
          <w:szCs w:val="28"/>
        </w:rPr>
        <w:t>一米。</w:t>
      </w:r>
    </w:p>
    <w:p w14:paraId="14D94A57">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所有埋地排污管道，由</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rPr>
        <w:t>公司接至界区外附近</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方指定排污口</w:t>
      </w:r>
      <w:r>
        <w:rPr>
          <w:rFonts w:hint="eastAsia" w:ascii="宋体" w:hAnsi="宋体" w:eastAsia="宋体" w:cs="宋体"/>
          <w:color w:val="auto"/>
          <w:sz w:val="28"/>
          <w:szCs w:val="28"/>
          <w:lang w:eastAsia="zh-CN"/>
        </w:rPr>
        <w:t>，并由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lang w:eastAsia="zh-CN"/>
        </w:rPr>
        <w:t>方统一进行污水处理</w:t>
      </w:r>
      <w:r>
        <w:rPr>
          <w:rFonts w:hint="eastAsia" w:ascii="宋体" w:hAnsi="宋体" w:eastAsia="宋体" w:cs="宋体"/>
          <w:color w:val="auto"/>
          <w:sz w:val="28"/>
          <w:szCs w:val="28"/>
        </w:rPr>
        <w:t>。</w:t>
      </w:r>
    </w:p>
    <w:p w14:paraId="05AE8DB1">
      <w:pPr>
        <w:pStyle w:val="5"/>
        <w:pageBreakBefore w:val="0"/>
        <w:kinsoku/>
        <w:wordWrap/>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调度电话线，由</w:t>
      </w:r>
      <w:r>
        <w:rPr>
          <w:rFonts w:hint="eastAsia" w:ascii="宋体" w:hAnsi="宋体" w:eastAsia="宋体" w:cs="宋体"/>
          <w:color w:val="auto"/>
          <w:sz w:val="28"/>
          <w:szCs w:val="28"/>
          <w:lang w:val="en-US" w:eastAsia="zh-CN"/>
        </w:rPr>
        <w:t>甲</w:t>
      </w:r>
      <w:r>
        <w:rPr>
          <w:rFonts w:hint="eastAsia" w:ascii="宋体" w:hAnsi="宋体" w:eastAsia="宋体" w:cs="宋体"/>
          <w:color w:val="auto"/>
          <w:sz w:val="28"/>
          <w:szCs w:val="28"/>
        </w:rPr>
        <w:t>方接至</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rPr>
        <w:t>公司主控室内。</w:t>
      </w:r>
    </w:p>
    <w:p w14:paraId="790CA4D7">
      <w:pPr>
        <w:pStyle w:val="5"/>
        <w:pageBreakBefore w:val="0"/>
        <w:kinsoku/>
        <w:wordWrap/>
        <w:overflowPunct/>
        <w:topLinePunct w:val="0"/>
        <w:bidi w:val="0"/>
        <w:spacing w:beforeAutospacing="0" w:afterAutospacing="0" w:line="360" w:lineRule="auto"/>
        <w:ind w:left="1072"/>
        <w:textAlignment w:val="auto"/>
        <w:rPr>
          <w:rFonts w:hint="eastAsia" w:ascii="宋体" w:hAnsi="宋体" w:eastAsia="宋体" w:cs="宋体"/>
          <w:color w:val="C00000"/>
          <w:sz w:val="28"/>
          <w:szCs w:val="28"/>
        </w:rPr>
      </w:pPr>
    </w:p>
    <w:p w14:paraId="672C394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rPr>
      </w:pPr>
    </w:p>
    <w:p w14:paraId="11E8DAFA">
      <w:pPr>
        <w:pageBreakBefore w:val="0"/>
        <w:kinsoku/>
        <w:wordWrap/>
        <w:overflowPunct/>
        <w:topLinePunct w:val="0"/>
        <w:bidi w:val="0"/>
        <w:spacing w:beforeAutospacing="0" w:afterAutospacing="0" w:line="360" w:lineRule="auto"/>
        <w:textAlignment w:val="auto"/>
        <w:rPr>
          <w:rFonts w:hint="eastAsia" w:ascii="宋体" w:hAnsi="宋体" w:eastAsia="宋体" w:cs="宋体"/>
          <w:sz w:val="28"/>
          <w:szCs w:val="28"/>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D437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6A4C42">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6A4C42">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MTlkZTZiYzMxZTA3MjBmZTFhOWVmZDhhMzYzOTEifQ=="/>
  </w:docVars>
  <w:rsids>
    <w:rsidRoot w:val="3ABC236B"/>
    <w:rsid w:val="00C414F0"/>
    <w:rsid w:val="00EE1C04"/>
    <w:rsid w:val="01472FBF"/>
    <w:rsid w:val="015A1AFA"/>
    <w:rsid w:val="015F6F9B"/>
    <w:rsid w:val="017E3A1E"/>
    <w:rsid w:val="01BC21FC"/>
    <w:rsid w:val="01EC7D46"/>
    <w:rsid w:val="020333F4"/>
    <w:rsid w:val="025710BB"/>
    <w:rsid w:val="02647C81"/>
    <w:rsid w:val="032C0324"/>
    <w:rsid w:val="03603F9B"/>
    <w:rsid w:val="036210CA"/>
    <w:rsid w:val="038F03D5"/>
    <w:rsid w:val="03D12178"/>
    <w:rsid w:val="0416501E"/>
    <w:rsid w:val="0499398D"/>
    <w:rsid w:val="04B35A21"/>
    <w:rsid w:val="04E743A1"/>
    <w:rsid w:val="0546628D"/>
    <w:rsid w:val="05842DA0"/>
    <w:rsid w:val="058E0714"/>
    <w:rsid w:val="06116586"/>
    <w:rsid w:val="061D1A09"/>
    <w:rsid w:val="06A0769C"/>
    <w:rsid w:val="07064E60"/>
    <w:rsid w:val="07147182"/>
    <w:rsid w:val="07C955B6"/>
    <w:rsid w:val="07DD5319"/>
    <w:rsid w:val="07E17BAB"/>
    <w:rsid w:val="088A20A7"/>
    <w:rsid w:val="08CE4F96"/>
    <w:rsid w:val="09ED177B"/>
    <w:rsid w:val="0A1044F5"/>
    <w:rsid w:val="0A6C0120"/>
    <w:rsid w:val="0A774456"/>
    <w:rsid w:val="0B3B019B"/>
    <w:rsid w:val="0B4F6A91"/>
    <w:rsid w:val="0B924E87"/>
    <w:rsid w:val="0BBA459C"/>
    <w:rsid w:val="0BF65CCE"/>
    <w:rsid w:val="0C2641ED"/>
    <w:rsid w:val="0C605D7C"/>
    <w:rsid w:val="0C845FB4"/>
    <w:rsid w:val="0C9610B9"/>
    <w:rsid w:val="0CB04EA9"/>
    <w:rsid w:val="0D0866D3"/>
    <w:rsid w:val="0D805DED"/>
    <w:rsid w:val="0DD85854"/>
    <w:rsid w:val="0E4C7D85"/>
    <w:rsid w:val="0EA6246D"/>
    <w:rsid w:val="0EBA355D"/>
    <w:rsid w:val="0EDB30BE"/>
    <w:rsid w:val="0F203137"/>
    <w:rsid w:val="0FB75387"/>
    <w:rsid w:val="0FFB53E6"/>
    <w:rsid w:val="10457E76"/>
    <w:rsid w:val="10B865DE"/>
    <w:rsid w:val="10CD0B10"/>
    <w:rsid w:val="113B7A39"/>
    <w:rsid w:val="1157301C"/>
    <w:rsid w:val="119F1B4E"/>
    <w:rsid w:val="11BF2D89"/>
    <w:rsid w:val="11E900A5"/>
    <w:rsid w:val="124C6228"/>
    <w:rsid w:val="127236AA"/>
    <w:rsid w:val="127B3A08"/>
    <w:rsid w:val="12B277B7"/>
    <w:rsid w:val="12B708C8"/>
    <w:rsid w:val="12C84A68"/>
    <w:rsid w:val="134F5A20"/>
    <w:rsid w:val="143B1652"/>
    <w:rsid w:val="14452F05"/>
    <w:rsid w:val="15437F71"/>
    <w:rsid w:val="15BD2CCB"/>
    <w:rsid w:val="15D36355"/>
    <w:rsid w:val="16525E21"/>
    <w:rsid w:val="16835CA2"/>
    <w:rsid w:val="17036030"/>
    <w:rsid w:val="173354D2"/>
    <w:rsid w:val="1757615A"/>
    <w:rsid w:val="18784EBC"/>
    <w:rsid w:val="18B511E3"/>
    <w:rsid w:val="1A0E0F20"/>
    <w:rsid w:val="1A121175"/>
    <w:rsid w:val="1A166522"/>
    <w:rsid w:val="1A4F6C0D"/>
    <w:rsid w:val="1ABC761D"/>
    <w:rsid w:val="1B1250C4"/>
    <w:rsid w:val="1B21612A"/>
    <w:rsid w:val="1B3F0C14"/>
    <w:rsid w:val="1B5A41E2"/>
    <w:rsid w:val="1B896F4D"/>
    <w:rsid w:val="1B917FCE"/>
    <w:rsid w:val="1BB14EB9"/>
    <w:rsid w:val="1C3E211F"/>
    <w:rsid w:val="1C8C3E05"/>
    <w:rsid w:val="1E74374C"/>
    <w:rsid w:val="1F5903B6"/>
    <w:rsid w:val="1F710A39"/>
    <w:rsid w:val="1F9803BC"/>
    <w:rsid w:val="1FB45EA9"/>
    <w:rsid w:val="202071CC"/>
    <w:rsid w:val="20885170"/>
    <w:rsid w:val="20CB6FDF"/>
    <w:rsid w:val="212159CA"/>
    <w:rsid w:val="21243436"/>
    <w:rsid w:val="21E54D72"/>
    <w:rsid w:val="21FA3149"/>
    <w:rsid w:val="225E6020"/>
    <w:rsid w:val="22FD4107"/>
    <w:rsid w:val="23113A96"/>
    <w:rsid w:val="23593AFA"/>
    <w:rsid w:val="236213BE"/>
    <w:rsid w:val="23DA5CA6"/>
    <w:rsid w:val="23FD2592"/>
    <w:rsid w:val="240748F6"/>
    <w:rsid w:val="2464406D"/>
    <w:rsid w:val="24A10278"/>
    <w:rsid w:val="25131A40"/>
    <w:rsid w:val="25296B03"/>
    <w:rsid w:val="2556279E"/>
    <w:rsid w:val="25726403"/>
    <w:rsid w:val="25891054"/>
    <w:rsid w:val="25C47A30"/>
    <w:rsid w:val="25EC6810"/>
    <w:rsid w:val="25FD71DE"/>
    <w:rsid w:val="2626631F"/>
    <w:rsid w:val="265B109D"/>
    <w:rsid w:val="26AB591D"/>
    <w:rsid w:val="274666F5"/>
    <w:rsid w:val="27573905"/>
    <w:rsid w:val="27AE378D"/>
    <w:rsid w:val="28521DC5"/>
    <w:rsid w:val="2892514F"/>
    <w:rsid w:val="28F315C5"/>
    <w:rsid w:val="29234510"/>
    <w:rsid w:val="29A620E3"/>
    <w:rsid w:val="29EE3723"/>
    <w:rsid w:val="29EF38E4"/>
    <w:rsid w:val="29F323F8"/>
    <w:rsid w:val="2A24438C"/>
    <w:rsid w:val="2A650E78"/>
    <w:rsid w:val="2AD83435"/>
    <w:rsid w:val="2AE55E98"/>
    <w:rsid w:val="2B8E1575"/>
    <w:rsid w:val="2B993D5D"/>
    <w:rsid w:val="2BA55702"/>
    <w:rsid w:val="2BB754E0"/>
    <w:rsid w:val="2C536FC1"/>
    <w:rsid w:val="2C8121CE"/>
    <w:rsid w:val="2C941C96"/>
    <w:rsid w:val="2CBB5524"/>
    <w:rsid w:val="2CC429C2"/>
    <w:rsid w:val="2D2929A0"/>
    <w:rsid w:val="2D2D50BE"/>
    <w:rsid w:val="2D390D8E"/>
    <w:rsid w:val="2D751C84"/>
    <w:rsid w:val="2D805867"/>
    <w:rsid w:val="2DB67103"/>
    <w:rsid w:val="2DF83A39"/>
    <w:rsid w:val="2E284A9D"/>
    <w:rsid w:val="2E342121"/>
    <w:rsid w:val="2E714562"/>
    <w:rsid w:val="2E824CD8"/>
    <w:rsid w:val="2E963FBC"/>
    <w:rsid w:val="2EE26452"/>
    <w:rsid w:val="2F2278C7"/>
    <w:rsid w:val="2F4D5BC7"/>
    <w:rsid w:val="2FED74FD"/>
    <w:rsid w:val="301A5C8B"/>
    <w:rsid w:val="30302AEE"/>
    <w:rsid w:val="30353CF9"/>
    <w:rsid w:val="307645F6"/>
    <w:rsid w:val="307C42EA"/>
    <w:rsid w:val="30CE1E7C"/>
    <w:rsid w:val="310F6F46"/>
    <w:rsid w:val="3114342F"/>
    <w:rsid w:val="31236997"/>
    <w:rsid w:val="316D7CCD"/>
    <w:rsid w:val="316F7F3C"/>
    <w:rsid w:val="318B263E"/>
    <w:rsid w:val="32610C1C"/>
    <w:rsid w:val="32A945D2"/>
    <w:rsid w:val="32E6476C"/>
    <w:rsid w:val="33341770"/>
    <w:rsid w:val="333D0744"/>
    <w:rsid w:val="33473525"/>
    <w:rsid w:val="33B90EAF"/>
    <w:rsid w:val="33DB5DD3"/>
    <w:rsid w:val="33F407A8"/>
    <w:rsid w:val="344D3378"/>
    <w:rsid w:val="34B76403"/>
    <w:rsid w:val="34CC075C"/>
    <w:rsid w:val="34DA2361"/>
    <w:rsid w:val="34DC522A"/>
    <w:rsid w:val="34FF2A0C"/>
    <w:rsid w:val="35036026"/>
    <w:rsid w:val="35147004"/>
    <w:rsid w:val="35611DF1"/>
    <w:rsid w:val="356B056F"/>
    <w:rsid w:val="356B48CC"/>
    <w:rsid w:val="359A1E63"/>
    <w:rsid w:val="36C068B6"/>
    <w:rsid w:val="36C2474D"/>
    <w:rsid w:val="36CE32CB"/>
    <w:rsid w:val="372C1554"/>
    <w:rsid w:val="37F520B8"/>
    <w:rsid w:val="3806198D"/>
    <w:rsid w:val="386D020B"/>
    <w:rsid w:val="38C627A5"/>
    <w:rsid w:val="38CD4496"/>
    <w:rsid w:val="38D1657F"/>
    <w:rsid w:val="39102E4D"/>
    <w:rsid w:val="39134028"/>
    <w:rsid w:val="391F58D8"/>
    <w:rsid w:val="397E4E28"/>
    <w:rsid w:val="39987BA1"/>
    <w:rsid w:val="399E5407"/>
    <w:rsid w:val="39E20B99"/>
    <w:rsid w:val="3A9E14C4"/>
    <w:rsid w:val="3AA3748C"/>
    <w:rsid w:val="3ABC236B"/>
    <w:rsid w:val="3AE42A7B"/>
    <w:rsid w:val="3AF82492"/>
    <w:rsid w:val="3BC35AAD"/>
    <w:rsid w:val="3C67702E"/>
    <w:rsid w:val="3CD00471"/>
    <w:rsid w:val="3DC254CA"/>
    <w:rsid w:val="3DE84152"/>
    <w:rsid w:val="3E0215E4"/>
    <w:rsid w:val="3E2868E3"/>
    <w:rsid w:val="3EDA7FDB"/>
    <w:rsid w:val="3EDC5E9D"/>
    <w:rsid w:val="3EFA0653"/>
    <w:rsid w:val="3F22472B"/>
    <w:rsid w:val="3F285E40"/>
    <w:rsid w:val="3F3F616A"/>
    <w:rsid w:val="3F4435EC"/>
    <w:rsid w:val="3FAD0FCD"/>
    <w:rsid w:val="3FAE76C6"/>
    <w:rsid w:val="401F00D8"/>
    <w:rsid w:val="40256D4F"/>
    <w:rsid w:val="410806DD"/>
    <w:rsid w:val="412047DA"/>
    <w:rsid w:val="41257800"/>
    <w:rsid w:val="41660B22"/>
    <w:rsid w:val="41DA0DD9"/>
    <w:rsid w:val="42075CE5"/>
    <w:rsid w:val="42222C91"/>
    <w:rsid w:val="42AA55D9"/>
    <w:rsid w:val="42B91000"/>
    <w:rsid w:val="4303083F"/>
    <w:rsid w:val="436868B5"/>
    <w:rsid w:val="43C25EDF"/>
    <w:rsid w:val="44AE1ACB"/>
    <w:rsid w:val="44AE48B8"/>
    <w:rsid w:val="44C66292"/>
    <w:rsid w:val="45446D9C"/>
    <w:rsid w:val="459506F4"/>
    <w:rsid w:val="45D56AA5"/>
    <w:rsid w:val="45E45EDB"/>
    <w:rsid w:val="46274C72"/>
    <w:rsid w:val="46277A34"/>
    <w:rsid w:val="462B4A7F"/>
    <w:rsid w:val="46585425"/>
    <w:rsid w:val="465D172D"/>
    <w:rsid w:val="479169E0"/>
    <w:rsid w:val="47D3364E"/>
    <w:rsid w:val="47E2506D"/>
    <w:rsid w:val="48022CAD"/>
    <w:rsid w:val="48184E97"/>
    <w:rsid w:val="482B3A83"/>
    <w:rsid w:val="484B6186"/>
    <w:rsid w:val="48922DC8"/>
    <w:rsid w:val="48E02DCC"/>
    <w:rsid w:val="48E50A71"/>
    <w:rsid w:val="48EB7B52"/>
    <w:rsid w:val="495F5460"/>
    <w:rsid w:val="49854482"/>
    <w:rsid w:val="49A86F74"/>
    <w:rsid w:val="49DF6437"/>
    <w:rsid w:val="4A2D648B"/>
    <w:rsid w:val="4A7C6003"/>
    <w:rsid w:val="4B432320"/>
    <w:rsid w:val="4B626909"/>
    <w:rsid w:val="4B627408"/>
    <w:rsid w:val="4B7B5595"/>
    <w:rsid w:val="4C184AA8"/>
    <w:rsid w:val="4C3D37BC"/>
    <w:rsid w:val="4C464A43"/>
    <w:rsid w:val="4C4E5A0A"/>
    <w:rsid w:val="4C7D4D84"/>
    <w:rsid w:val="4C937AAA"/>
    <w:rsid w:val="4CEA535F"/>
    <w:rsid w:val="4DCE096A"/>
    <w:rsid w:val="4E156312"/>
    <w:rsid w:val="4ECB6434"/>
    <w:rsid w:val="4EDE7ECD"/>
    <w:rsid w:val="4EF204E0"/>
    <w:rsid w:val="4F544DCF"/>
    <w:rsid w:val="4F5569FD"/>
    <w:rsid w:val="4F5C5871"/>
    <w:rsid w:val="4F7650F9"/>
    <w:rsid w:val="4FB72F32"/>
    <w:rsid w:val="506A0B2B"/>
    <w:rsid w:val="50907E28"/>
    <w:rsid w:val="50C530EA"/>
    <w:rsid w:val="52277298"/>
    <w:rsid w:val="522A2680"/>
    <w:rsid w:val="52BA65FA"/>
    <w:rsid w:val="52BE3DF5"/>
    <w:rsid w:val="53901851"/>
    <w:rsid w:val="5392112B"/>
    <w:rsid w:val="53954BFA"/>
    <w:rsid w:val="544315A4"/>
    <w:rsid w:val="54711270"/>
    <w:rsid w:val="54BA735A"/>
    <w:rsid w:val="54DF6FB6"/>
    <w:rsid w:val="558A1136"/>
    <w:rsid w:val="56325A78"/>
    <w:rsid w:val="563D2FC9"/>
    <w:rsid w:val="577D5628"/>
    <w:rsid w:val="57F333FB"/>
    <w:rsid w:val="58172C56"/>
    <w:rsid w:val="588F5325"/>
    <w:rsid w:val="58E36134"/>
    <w:rsid w:val="598140DF"/>
    <w:rsid w:val="59AA043E"/>
    <w:rsid w:val="59BF0A6A"/>
    <w:rsid w:val="5A374E47"/>
    <w:rsid w:val="5A4561C0"/>
    <w:rsid w:val="5B1D2BE8"/>
    <w:rsid w:val="5B746CF7"/>
    <w:rsid w:val="5B8A04A0"/>
    <w:rsid w:val="5BA92EA6"/>
    <w:rsid w:val="5CFE3083"/>
    <w:rsid w:val="5D01046E"/>
    <w:rsid w:val="5D076679"/>
    <w:rsid w:val="5D5D2382"/>
    <w:rsid w:val="5DCD19DE"/>
    <w:rsid w:val="5E0D1FE7"/>
    <w:rsid w:val="5E140CCA"/>
    <w:rsid w:val="5E4B6B47"/>
    <w:rsid w:val="5E6B4C65"/>
    <w:rsid w:val="5E743589"/>
    <w:rsid w:val="5EE74A91"/>
    <w:rsid w:val="5F521D0C"/>
    <w:rsid w:val="5F701BDF"/>
    <w:rsid w:val="5FB30C2A"/>
    <w:rsid w:val="5FD4310E"/>
    <w:rsid w:val="606C69DE"/>
    <w:rsid w:val="60D12D57"/>
    <w:rsid w:val="60DC0916"/>
    <w:rsid w:val="6112261A"/>
    <w:rsid w:val="61477910"/>
    <w:rsid w:val="615B49D9"/>
    <w:rsid w:val="62137BF6"/>
    <w:rsid w:val="623C7451"/>
    <w:rsid w:val="62574279"/>
    <w:rsid w:val="62A22AE9"/>
    <w:rsid w:val="62B23F51"/>
    <w:rsid w:val="62BE29C3"/>
    <w:rsid w:val="63243E69"/>
    <w:rsid w:val="632779CB"/>
    <w:rsid w:val="636B7CF1"/>
    <w:rsid w:val="63C36DA3"/>
    <w:rsid w:val="63EB44F2"/>
    <w:rsid w:val="645D6C0B"/>
    <w:rsid w:val="64DF21E3"/>
    <w:rsid w:val="65226732"/>
    <w:rsid w:val="65385F6E"/>
    <w:rsid w:val="655665DF"/>
    <w:rsid w:val="65710CD5"/>
    <w:rsid w:val="66A2717C"/>
    <w:rsid w:val="67580AC9"/>
    <w:rsid w:val="676D1E25"/>
    <w:rsid w:val="67B31031"/>
    <w:rsid w:val="681C2D89"/>
    <w:rsid w:val="686917EB"/>
    <w:rsid w:val="68F843F5"/>
    <w:rsid w:val="69E50B36"/>
    <w:rsid w:val="69FE344B"/>
    <w:rsid w:val="6A046CA7"/>
    <w:rsid w:val="6A125B39"/>
    <w:rsid w:val="6A8140ED"/>
    <w:rsid w:val="6ADD6D5E"/>
    <w:rsid w:val="6AE84ADF"/>
    <w:rsid w:val="6B166856"/>
    <w:rsid w:val="6B872C2F"/>
    <w:rsid w:val="6BF3281C"/>
    <w:rsid w:val="6C1B69C3"/>
    <w:rsid w:val="6C744539"/>
    <w:rsid w:val="6C8303EB"/>
    <w:rsid w:val="6C845361"/>
    <w:rsid w:val="6C8B724B"/>
    <w:rsid w:val="6D2729D6"/>
    <w:rsid w:val="6D2739E1"/>
    <w:rsid w:val="6D60738A"/>
    <w:rsid w:val="6DF51E0B"/>
    <w:rsid w:val="6E12007D"/>
    <w:rsid w:val="6FA00508"/>
    <w:rsid w:val="701B1393"/>
    <w:rsid w:val="708E398B"/>
    <w:rsid w:val="70B7038D"/>
    <w:rsid w:val="70DA444D"/>
    <w:rsid w:val="710F5487"/>
    <w:rsid w:val="711957C9"/>
    <w:rsid w:val="712B5D9A"/>
    <w:rsid w:val="71542958"/>
    <w:rsid w:val="716321F7"/>
    <w:rsid w:val="71A726E4"/>
    <w:rsid w:val="71F25304"/>
    <w:rsid w:val="72030B39"/>
    <w:rsid w:val="7256526A"/>
    <w:rsid w:val="737C52A6"/>
    <w:rsid w:val="741D6C6A"/>
    <w:rsid w:val="745563BB"/>
    <w:rsid w:val="74EA68C0"/>
    <w:rsid w:val="75783A49"/>
    <w:rsid w:val="75AB3AB3"/>
    <w:rsid w:val="75C27961"/>
    <w:rsid w:val="76165DD7"/>
    <w:rsid w:val="763B49CA"/>
    <w:rsid w:val="7662726E"/>
    <w:rsid w:val="76EF6372"/>
    <w:rsid w:val="77F42D48"/>
    <w:rsid w:val="78A03E97"/>
    <w:rsid w:val="78D93AC5"/>
    <w:rsid w:val="792772EA"/>
    <w:rsid w:val="792E51E6"/>
    <w:rsid w:val="79617E4B"/>
    <w:rsid w:val="79B302B7"/>
    <w:rsid w:val="7A237DE5"/>
    <w:rsid w:val="7A276B47"/>
    <w:rsid w:val="7A8277C0"/>
    <w:rsid w:val="7AE41F17"/>
    <w:rsid w:val="7AF4182D"/>
    <w:rsid w:val="7B251227"/>
    <w:rsid w:val="7B2E7F91"/>
    <w:rsid w:val="7B5840A4"/>
    <w:rsid w:val="7B897E96"/>
    <w:rsid w:val="7B8E7B2C"/>
    <w:rsid w:val="7BB0183F"/>
    <w:rsid w:val="7BCD63B5"/>
    <w:rsid w:val="7BFC65DE"/>
    <w:rsid w:val="7C181CDF"/>
    <w:rsid w:val="7C522EE9"/>
    <w:rsid w:val="7C721FBE"/>
    <w:rsid w:val="7C905415"/>
    <w:rsid w:val="7CF108B2"/>
    <w:rsid w:val="7CF3006B"/>
    <w:rsid w:val="7D347F68"/>
    <w:rsid w:val="7D741961"/>
    <w:rsid w:val="7DC105DE"/>
    <w:rsid w:val="7EEA7EFD"/>
    <w:rsid w:val="7EEC648D"/>
    <w:rsid w:val="7EF01C97"/>
    <w:rsid w:val="7F837847"/>
    <w:rsid w:val="7F904A2A"/>
    <w:rsid w:val="7FB53BAC"/>
    <w:rsid w:val="7FF41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4">
    <w:name w:val="Body Text"/>
    <w:basedOn w:val="1"/>
    <w:qFormat/>
    <w:uiPriority w:val="0"/>
    <w:pPr>
      <w:jc w:val="both"/>
    </w:pPr>
    <w:rPr>
      <w:rFonts w:ascii="Arial" w:hAnsi="Arial"/>
      <w:color w:val="auto"/>
      <w:sz w:val="22"/>
      <w:lang w:val="en-GB" w:eastAsia="fr-FR"/>
    </w:rPr>
  </w:style>
  <w:style w:type="paragraph" w:styleId="5">
    <w:name w:val="Plain Text"/>
    <w:basedOn w:val="1"/>
    <w:qFormat/>
    <w:uiPriority w:val="0"/>
    <w:rPr>
      <w:rFonts w:ascii="Arial" w:hAnsi="Arial"/>
      <w:color w:val="auto"/>
      <w:lang w:val="es-ES" w:eastAsia="fr-FR"/>
    </w:rPr>
  </w:style>
  <w:style w:type="paragraph" w:styleId="6">
    <w:name w:val="Balloon Text"/>
    <w:basedOn w:val="1"/>
    <w:qFormat/>
    <w:uiPriority w:val="0"/>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pPr>
      <w:tabs>
        <w:tab w:val="right" w:leader="dot" w:pos="9060"/>
      </w:tabs>
      <w:spacing w:before="120" w:line="460" w:lineRule="exact"/>
    </w:pPr>
    <w:rPr>
      <w:b/>
      <w:bCs/>
      <w:i/>
      <w:iCs/>
      <w:sz w:val="24"/>
      <w:szCs w:val="24"/>
    </w:rPr>
  </w:style>
  <w:style w:type="paragraph" w:styleId="9">
    <w:name w:val="Normal (Web)"/>
    <w:basedOn w:val="1"/>
    <w:qFormat/>
    <w:uiPriority w:val="0"/>
    <w:rPr>
      <w:sz w:val="24"/>
    </w:rPr>
  </w:style>
  <w:style w:type="paragraph" w:styleId="10">
    <w:name w:val="Body Text First Indent"/>
    <w:basedOn w:val="4"/>
    <w:qFormat/>
    <w:uiPriority w:val="0"/>
    <w:pPr>
      <w:ind w:firstLine="420"/>
    </w:pPr>
  </w:style>
  <w:style w:type="character" w:styleId="13">
    <w:name w:val="page number"/>
    <w:basedOn w:val="12"/>
    <w:qFormat/>
    <w:uiPriority w:val="0"/>
  </w:style>
  <w:style w:type="character" w:styleId="14">
    <w:name w:val="Hyperlink"/>
    <w:qFormat/>
    <w:uiPriority w:val="99"/>
    <w:rPr>
      <w:color w:val="0000FF"/>
      <w:u w:val="single"/>
    </w:rPr>
  </w:style>
  <w:style w:type="paragraph" w:customStyle="1" w:styleId="15">
    <w:name w:val="Body text|2"/>
    <w:basedOn w:val="1"/>
    <w:qFormat/>
    <w:uiPriority w:val="0"/>
    <w:pPr>
      <w:widowControl w:val="0"/>
      <w:spacing w:after="1100"/>
      <w:jc w:val="center"/>
    </w:pPr>
    <w:rPr>
      <w:rFonts w:ascii="宋体" w:hAnsi="宋体" w:cs="宋体"/>
      <w:sz w:val="42"/>
      <w:szCs w:val="42"/>
      <w:lang w:val="zh-TW" w:eastAsia="zh-TW" w:bidi="zh-TW"/>
    </w:rPr>
  </w:style>
  <w:style w:type="paragraph" w:styleId="16">
    <w:name w:val="List Paragraph"/>
    <w:basedOn w:val="1"/>
    <w:qFormat/>
    <w:uiPriority w:val="34"/>
    <w:pPr>
      <w:ind w:firstLine="420" w:firstLineChars="200"/>
    </w:pPr>
  </w:style>
  <w:style w:type="paragraph" w:customStyle="1" w:styleId="17">
    <w:name w:val="Other|1"/>
    <w:basedOn w:val="1"/>
    <w:qFormat/>
    <w:uiPriority w:val="0"/>
    <w:pPr>
      <w:widowControl w:val="0"/>
      <w:spacing w:after="280" w:line="293" w:lineRule="auto"/>
    </w:pPr>
    <w:rPr>
      <w:rFonts w:ascii="宋体" w:hAnsi="宋体" w:cs="宋体"/>
      <w:sz w:val="22"/>
      <w:szCs w:val="22"/>
      <w:lang w:val="zh-TW" w:eastAsia="zh-TW" w:bidi="zh-TW"/>
    </w:rPr>
  </w:style>
  <w:style w:type="paragraph" w:customStyle="1" w:styleId="18">
    <w:name w:val="Default"/>
    <w:qFormat/>
    <w:uiPriority w:val="0"/>
    <w:pPr>
      <w:autoSpaceDE w:val="0"/>
      <w:autoSpaceDN w:val="0"/>
      <w:adjustRightInd w:val="0"/>
    </w:pPr>
    <w:rPr>
      <w:rFonts w:ascii="宋体" w:hAnsi="Times New Roman" w:eastAsia="宋体" w:cs="Times New Roman"/>
      <w:color w:val="000000"/>
      <w:sz w:val="24"/>
      <w:szCs w:val="24"/>
      <w:lang w:val="en-US" w:eastAsia="en-US" w:bidi="ar-SA"/>
    </w:rPr>
  </w:style>
  <w:style w:type="paragraph" w:customStyle="1" w:styleId="19">
    <w:name w:val="Table caption|1"/>
    <w:basedOn w:val="1"/>
    <w:qFormat/>
    <w:uiPriority w:val="0"/>
    <w:pPr>
      <w:widowControl w:val="0"/>
    </w:pPr>
    <w:rPr>
      <w:rFonts w:ascii="宋体" w:hAnsi="宋体" w:cs="宋体"/>
      <w:sz w:val="22"/>
      <w:szCs w:val="22"/>
      <w:lang w:val="zh-TW" w:eastAsia="zh-TW" w:bidi="zh-TW"/>
    </w:rPr>
  </w:style>
  <w:style w:type="paragraph" w:customStyle="1" w:styleId="20">
    <w:name w:val="Header or footer|2"/>
    <w:basedOn w:val="1"/>
    <w:qFormat/>
    <w:uiPriority w:val="0"/>
    <w:pPr>
      <w:widowControl w:val="0"/>
    </w:pPr>
    <w:rPr>
      <w:lang w:val="zh-TW" w:eastAsia="zh-TW" w:bidi="zh-TW"/>
    </w:rPr>
  </w:style>
  <w:style w:type="character" w:customStyle="1" w:styleId="21">
    <w:name w:val="font31"/>
    <w:basedOn w:val="12"/>
    <w:qFormat/>
    <w:uiPriority w:val="0"/>
    <w:rPr>
      <w:rFonts w:hint="eastAsia" w:ascii="方正仿宋_GBK" w:hAnsi="方正仿宋_GBK" w:eastAsia="方正仿宋_GBK" w:cs="方正仿宋_GBK"/>
      <w:color w:val="000000"/>
      <w:sz w:val="20"/>
      <w:szCs w:val="20"/>
      <w:u w:val="none"/>
    </w:rPr>
  </w:style>
  <w:style w:type="character" w:customStyle="1" w:styleId="22">
    <w:name w:val="font21"/>
    <w:basedOn w:val="12"/>
    <w:qFormat/>
    <w:uiPriority w:val="0"/>
    <w:rPr>
      <w:rFonts w:hint="eastAsia" w:ascii="方正仿宋_GBK" w:hAnsi="方正仿宋_GBK" w:eastAsia="方正仿宋_GBK" w:cs="方正仿宋_GBK"/>
      <w:color w:val="000000"/>
      <w:sz w:val="20"/>
      <w:szCs w:val="20"/>
      <w:u w:val="none"/>
      <w:vertAlign w:val="subscript"/>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da57129-5ec8-430f-9fb3-a82827a69ec8}"/>
        <w:style w:val=""/>
        <w:category>
          <w:name w:val="常规"/>
          <w:gallery w:val="placeholder"/>
        </w:category>
        <w:types>
          <w:type w:val="bbPlcHdr"/>
        </w:types>
        <w:behaviors>
          <w:behavior w:val="content"/>
        </w:behaviors>
        <w:description w:val=""/>
        <w:guid w:val="{8da57129-5ec8-430f-9fb3-a82827a69ec8}"/>
      </w:docPartPr>
      <w:docPartBody>
        <w:p w14:paraId="2591A13E">
          <w:r>
            <w:rPr>
              <w:color w:val="808080"/>
            </w:rPr>
            <w:t>单击此处输入文字。</w:t>
          </w:r>
        </w:p>
      </w:docPartBody>
    </w:docPart>
    <w:docPart>
      <w:docPartPr>
        <w:name w:val="{6aa73c25-d098-4d57-ab64-edacf000081f}"/>
        <w:style w:val=""/>
        <w:category>
          <w:name w:val="常规"/>
          <w:gallery w:val="placeholder"/>
        </w:category>
        <w:types>
          <w:type w:val="bbPlcHdr"/>
        </w:types>
        <w:behaviors>
          <w:behavior w:val="content"/>
        </w:behaviors>
        <w:description w:val=""/>
        <w:guid w:val="{6aa73c25-d098-4d57-ab64-edacf000081f}"/>
      </w:docPartPr>
      <w:docPartBody>
        <w:p w14:paraId="2E228AFB">
          <w:r>
            <w:rPr>
              <w:color w:val="808080"/>
            </w:rPr>
            <w:t>单击此处输入文字。</w:t>
          </w:r>
        </w:p>
      </w:docPartBody>
    </w:docPart>
    <w:docPart>
      <w:docPartPr>
        <w:name w:val="{e09792dc-760d-4938-8b39-82039e80f0ac}"/>
        <w:style w:val=""/>
        <w:category>
          <w:name w:val="常规"/>
          <w:gallery w:val="placeholder"/>
        </w:category>
        <w:types>
          <w:type w:val="bbPlcHdr"/>
        </w:types>
        <w:behaviors>
          <w:behavior w:val="content"/>
        </w:behaviors>
        <w:description w:val=""/>
        <w:guid w:val="{e09792dc-760d-4938-8b39-82039e80f0ac}"/>
      </w:docPartPr>
      <w:docPartBody>
        <w:p w14:paraId="43E3CDC5">
          <w:r>
            <w:rPr>
              <w:color w:val="808080"/>
            </w:rPr>
            <w:t>单击此处输入文字。</w:t>
          </w:r>
        </w:p>
      </w:docPartBody>
    </w:docPart>
    <w:docPart>
      <w:docPartPr>
        <w:name w:val="{259706fa-33e7-49c4-a03a-ede5a2080be7}"/>
        <w:style w:val=""/>
        <w:category>
          <w:name w:val="常规"/>
          <w:gallery w:val="placeholder"/>
        </w:category>
        <w:types>
          <w:type w:val="bbPlcHdr"/>
        </w:types>
        <w:behaviors>
          <w:behavior w:val="content"/>
        </w:behaviors>
        <w:description w:val=""/>
        <w:guid w:val="{259706fa-33e7-49c4-a03a-ede5a2080be7}"/>
      </w:docPartPr>
      <w:docPartBody>
        <w:p w14:paraId="3CC4129D">
          <w:r>
            <w:rPr>
              <w:color w:val="808080"/>
            </w:rPr>
            <w:t>单击此处输入文字。</w:t>
          </w:r>
        </w:p>
      </w:docPartBody>
    </w:docPart>
    <w:docPart>
      <w:docPartPr>
        <w:name w:val="{43125d00-3514-4031-b375-dea191e6d9ef}"/>
        <w:style w:val=""/>
        <w:category>
          <w:name w:val="常规"/>
          <w:gallery w:val="placeholder"/>
        </w:category>
        <w:types>
          <w:type w:val="bbPlcHdr"/>
        </w:types>
        <w:behaviors>
          <w:behavior w:val="content"/>
        </w:behaviors>
        <w:description w:val=""/>
        <w:guid w:val="{43125d00-3514-4031-b375-dea191e6d9ef}"/>
      </w:docPartPr>
      <w:docPartBody>
        <w:p w14:paraId="2F5CF607">
          <w:r>
            <w:rPr>
              <w:color w:val="808080"/>
            </w:rPr>
            <w:t>单击此处输入文字。</w:t>
          </w:r>
        </w:p>
      </w:docPartBody>
    </w:docPart>
    <w:docPart>
      <w:docPartPr>
        <w:name w:val="{3f530698-bcee-4f72-8dc4-237d4d9542dd}"/>
        <w:style w:val=""/>
        <w:category>
          <w:name w:val="常规"/>
          <w:gallery w:val="placeholder"/>
        </w:category>
        <w:types>
          <w:type w:val="bbPlcHdr"/>
        </w:types>
        <w:behaviors>
          <w:behavior w:val="content"/>
        </w:behaviors>
        <w:description w:val=""/>
        <w:guid w:val="{3f530698-bcee-4f72-8dc4-237d4d9542dd}"/>
      </w:docPartPr>
      <w:docPartBody>
        <w:p w14:paraId="6D1C90B0">
          <w:r>
            <w:rPr>
              <w:color w:val="808080"/>
            </w:rPr>
            <w:t>单击此处输入文字。</w:t>
          </w:r>
        </w:p>
      </w:docPartBody>
    </w:docPart>
    <w:docPart>
      <w:docPartPr>
        <w:name w:val="{bc10ea08-b2d6-4ccc-8477-20a7d9c0d1e5}"/>
        <w:style w:val=""/>
        <w:category>
          <w:name w:val="常规"/>
          <w:gallery w:val="placeholder"/>
        </w:category>
        <w:types>
          <w:type w:val="bbPlcHdr"/>
        </w:types>
        <w:behaviors>
          <w:behavior w:val="content"/>
        </w:behaviors>
        <w:description w:val=""/>
        <w:guid w:val="{bc10ea08-b2d6-4ccc-8477-20a7d9c0d1e5}"/>
      </w:docPartPr>
      <w:docPartBody>
        <w:p w14:paraId="3CD2D92B">
          <w:r>
            <w:rPr>
              <w:color w:val="808080"/>
            </w:rPr>
            <w:t>单击此处输入文字。</w:t>
          </w:r>
        </w:p>
      </w:docPartBody>
    </w:docPart>
    <w:docPart>
      <w:docPartPr>
        <w:name w:val="{fb54b1d0-7dcc-4fc7-afbd-aa98e284b467}"/>
        <w:style w:val=""/>
        <w:category>
          <w:name w:val="常规"/>
          <w:gallery w:val="placeholder"/>
        </w:category>
        <w:types>
          <w:type w:val="bbPlcHdr"/>
        </w:types>
        <w:behaviors>
          <w:behavior w:val="content"/>
        </w:behaviors>
        <w:description w:val=""/>
        <w:guid w:val="{fb54b1d0-7dcc-4fc7-afbd-aa98e284b467}"/>
      </w:docPartPr>
      <w:docPartBody>
        <w:p w14:paraId="3469F593">
          <w:r>
            <w:rPr>
              <w:color w:val="808080"/>
            </w:rPr>
            <w:t>单击此处输入文字。</w:t>
          </w:r>
        </w:p>
      </w:docPartBody>
    </w:docPart>
    <w:docPart>
      <w:docPartPr>
        <w:name w:val="{ec864c57-40a8-45fa-a1d2-f8e5f87e7a9f}"/>
        <w:style w:val=""/>
        <w:category>
          <w:name w:val="常规"/>
          <w:gallery w:val="placeholder"/>
        </w:category>
        <w:types>
          <w:type w:val="bbPlcHdr"/>
        </w:types>
        <w:behaviors>
          <w:behavior w:val="content"/>
        </w:behaviors>
        <w:description w:val=""/>
        <w:guid w:val="{ec864c57-40a8-45fa-a1d2-f8e5f87e7a9f}"/>
      </w:docPartPr>
      <w:docPartBody>
        <w:p w14:paraId="7664B3E6">
          <w:r>
            <w:rPr>
              <w:color w:val="808080"/>
            </w:rPr>
            <w:t>单击此处输入文字。</w:t>
          </w:r>
        </w:p>
      </w:docPartBody>
    </w:docPart>
    <w:docPart>
      <w:docPartPr>
        <w:name w:val="{2fc60f7d-0bb4-4fee-baf1-a788e478269f}"/>
        <w:style w:val=""/>
        <w:category>
          <w:name w:val="常规"/>
          <w:gallery w:val="placeholder"/>
        </w:category>
        <w:types>
          <w:type w:val="bbPlcHdr"/>
        </w:types>
        <w:behaviors>
          <w:behavior w:val="content"/>
        </w:behaviors>
        <w:description w:val=""/>
        <w:guid w:val="{2fc60f7d-0bb4-4fee-baf1-a788e478269f}"/>
      </w:docPartPr>
      <w:docPartBody>
        <w:p w14:paraId="0D2E5C16">
          <w:r>
            <w:rPr>
              <w:color w:val="808080"/>
            </w:rPr>
            <w:t>单击此处输入文字。</w:t>
          </w:r>
        </w:p>
      </w:docPartBody>
    </w:docPart>
    <w:docPart>
      <w:docPartPr>
        <w:name w:val="{cff19e49-ff92-471b-976e-5b75b9aa8920}"/>
        <w:style w:val=""/>
        <w:category>
          <w:name w:val="常规"/>
          <w:gallery w:val="placeholder"/>
        </w:category>
        <w:types>
          <w:type w:val="bbPlcHdr"/>
        </w:types>
        <w:behaviors>
          <w:behavior w:val="content"/>
        </w:behaviors>
        <w:description w:val=""/>
        <w:guid w:val="{cff19e49-ff92-471b-976e-5b75b9aa8920}"/>
      </w:docPartPr>
      <w:docPartBody>
        <w:p w14:paraId="5D7F3898">
          <w:r>
            <w:rPr>
              <w:color w:val="808080"/>
            </w:rPr>
            <w:t>单击此处输入文字。</w:t>
          </w:r>
        </w:p>
      </w:docPartBody>
    </w:docPart>
    <w:docPart>
      <w:docPartPr>
        <w:name w:val="{6f9c12b7-f499-4940-a3aa-746a13b116d5}"/>
        <w:style w:val=""/>
        <w:category>
          <w:name w:val="常规"/>
          <w:gallery w:val="placeholder"/>
        </w:category>
        <w:types>
          <w:type w:val="bbPlcHdr"/>
        </w:types>
        <w:behaviors>
          <w:behavior w:val="content"/>
        </w:behaviors>
        <w:description w:val=""/>
        <w:guid w:val="{6f9c12b7-f499-4940-a3aa-746a13b116d5}"/>
      </w:docPartPr>
      <w:docPartBody>
        <w:p w14:paraId="667CD86B">
          <w:r>
            <w:rPr>
              <w:color w:val="808080"/>
            </w:rPr>
            <w:t>单击此处输入文字。</w:t>
          </w:r>
        </w:p>
      </w:docPartBody>
    </w:docPart>
    <w:docPart>
      <w:docPartPr>
        <w:name w:val="{ba61c40b-dae4-435f-b6fb-0d2277a07587}"/>
        <w:style w:val=""/>
        <w:category>
          <w:name w:val="常规"/>
          <w:gallery w:val="placeholder"/>
        </w:category>
        <w:types>
          <w:type w:val="bbPlcHdr"/>
        </w:types>
        <w:behaviors>
          <w:behavior w:val="content"/>
        </w:behaviors>
        <w:description w:val=""/>
        <w:guid w:val="{ba61c40b-dae4-435f-b6fb-0d2277a07587}"/>
      </w:docPartPr>
      <w:docPartBody>
        <w:p w14:paraId="2F001E38">
          <w:r>
            <w:rPr>
              <w:color w:val="808080"/>
            </w:rPr>
            <w:t>单击此处输入文字。</w:t>
          </w:r>
        </w:p>
      </w:docPartBody>
    </w:docPart>
    <w:docPart>
      <w:docPartPr>
        <w:name w:val="{fef966ea-04ec-4ad5-aba2-261d94fd53db}"/>
        <w:style w:val=""/>
        <w:category>
          <w:name w:val="常规"/>
          <w:gallery w:val="placeholder"/>
        </w:category>
        <w:types>
          <w:type w:val="bbPlcHdr"/>
        </w:types>
        <w:behaviors>
          <w:behavior w:val="content"/>
        </w:behaviors>
        <w:description w:val=""/>
        <w:guid w:val="{fef966ea-04ec-4ad5-aba2-261d94fd53db}"/>
      </w:docPartPr>
      <w:docPartBody>
        <w:p w14:paraId="75D9F367">
          <w:r>
            <w:rPr>
              <w:color w:val="808080"/>
            </w:rPr>
            <w:t>单击此处输入文字。</w:t>
          </w:r>
        </w:p>
      </w:docPartBody>
    </w:docPart>
    <w:docPart>
      <w:docPartPr>
        <w:name w:val="{287b4736-1ead-4259-a762-e127df58fac1}"/>
        <w:style w:val=""/>
        <w:category>
          <w:name w:val="常规"/>
          <w:gallery w:val="placeholder"/>
        </w:category>
        <w:types>
          <w:type w:val="bbPlcHdr"/>
        </w:types>
        <w:behaviors>
          <w:behavior w:val="content"/>
        </w:behaviors>
        <w:description w:val=""/>
        <w:guid w:val="{287b4736-1ead-4259-a762-e127df58fac1}"/>
      </w:docPartPr>
      <w:docPartBody>
        <w:p w14:paraId="02D8753E">
          <w:r>
            <w:rPr>
              <w:color w:val="808080"/>
            </w:rPr>
            <w:t>单击此处输入文字。</w:t>
          </w:r>
        </w:p>
      </w:docPartBody>
    </w:docPart>
    <w:docPart>
      <w:docPartPr>
        <w:name w:val="{8abb6478-19ed-4be0-a1a6-2bf98aa0ce67}"/>
        <w:style w:val=""/>
        <w:category>
          <w:name w:val="常规"/>
          <w:gallery w:val="placeholder"/>
        </w:category>
        <w:types>
          <w:type w:val="bbPlcHdr"/>
        </w:types>
        <w:behaviors>
          <w:behavior w:val="content"/>
        </w:behaviors>
        <w:description w:val=""/>
        <w:guid w:val="{8abb6478-19ed-4be0-a1a6-2bf98aa0ce67}"/>
      </w:docPartPr>
      <w:docPartBody>
        <w:p w14:paraId="50AB93E1">
          <w:r>
            <w:rPr>
              <w:color w:val="808080"/>
            </w:rPr>
            <w:t>单击此处输入文字。</w:t>
          </w:r>
        </w:p>
      </w:docPartBody>
    </w:docPart>
    <w:docPart>
      <w:docPartPr>
        <w:name w:val="{450ab21a-6f93-4d4a-8be5-d64256c634e3}"/>
        <w:style w:val=""/>
        <w:category>
          <w:name w:val="常规"/>
          <w:gallery w:val="placeholder"/>
        </w:category>
        <w:types>
          <w:type w:val="bbPlcHdr"/>
        </w:types>
        <w:behaviors>
          <w:behavior w:val="content"/>
        </w:behaviors>
        <w:description w:val=""/>
        <w:guid w:val="{450ab21a-6f93-4d4a-8be5-d64256c634e3}"/>
      </w:docPartPr>
      <w:docPartBody>
        <w:p w14:paraId="03103CE6">
          <w:r>
            <w:rPr>
              <w:color w:val="808080"/>
            </w:rPr>
            <w:t>单击此处输入文字。</w:t>
          </w:r>
        </w:p>
      </w:docPartBody>
    </w:docPart>
    <w:docPart>
      <w:docPartPr>
        <w:name w:val="{944928b8-9f6e-4705-b130-4693590eac81}"/>
        <w:style w:val=""/>
        <w:category>
          <w:name w:val="常规"/>
          <w:gallery w:val="placeholder"/>
        </w:category>
        <w:types>
          <w:type w:val="bbPlcHdr"/>
        </w:types>
        <w:behaviors>
          <w:behavior w:val="content"/>
        </w:behaviors>
        <w:description w:val=""/>
        <w:guid w:val="{944928b8-9f6e-4705-b130-4693590eac81}"/>
      </w:docPartPr>
      <w:docPartBody>
        <w:p w14:paraId="1D807C7E">
          <w:r>
            <w:rPr>
              <w:color w:val="808080"/>
            </w:rPr>
            <w:t>单击此处输入文字。</w:t>
          </w:r>
        </w:p>
      </w:docPartBody>
    </w:docPart>
    <w:docPart>
      <w:docPartPr>
        <w:name w:val="{41c2dd5b-c8cc-4e3b-960f-c0810cd207d4}"/>
        <w:style w:val=""/>
        <w:category>
          <w:name w:val="常规"/>
          <w:gallery w:val="placeholder"/>
        </w:category>
        <w:types>
          <w:type w:val="bbPlcHdr"/>
        </w:types>
        <w:behaviors>
          <w:behavior w:val="content"/>
        </w:behaviors>
        <w:description w:val=""/>
        <w:guid w:val="{41c2dd5b-c8cc-4e3b-960f-c0810cd207d4}"/>
      </w:docPartPr>
      <w:docPartBody>
        <w:p w14:paraId="10BD5BC0">
          <w:r>
            <w:rPr>
              <w:color w:val="808080"/>
            </w:rPr>
            <w:t>单击此处输入文字。</w:t>
          </w:r>
        </w:p>
      </w:docPartBody>
    </w:docPart>
    <w:docPart>
      <w:docPartPr>
        <w:name w:val="{723100a3-dd76-4d08-a379-8cafe5da109c}"/>
        <w:style w:val=""/>
        <w:category>
          <w:name w:val="常规"/>
          <w:gallery w:val="placeholder"/>
        </w:category>
        <w:types>
          <w:type w:val="bbPlcHdr"/>
        </w:types>
        <w:behaviors>
          <w:behavior w:val="content"/>
        </w:behaviors>
        <w:description w:val=""/>
        <w:guid w:val="{723100a3-dd76-4d08-a379-8cafe5da109c}"/>
      </w:docPartPr>
      <w:docPartBody>
        <w:p w14:paraId="0B509133">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4132</Words>
  <Characters>4409</Characters>
  <Lines>0</Lines>
  <Paragraphs>0</Paragraphs>
  <TotalTime>9</TotalTime>
  <ScaleCrop>false</ScaleCrop>
  <LinksUpToDate>false</LinksUpToDate>
  <CharactersWithSpaces>4719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2023-10-24T02:59:00Z</dcterms:created>
  <dc:creator>王晓亮</dc:creator>
  <cp:lastModifiedBy>于庆宇</cp:lastModifiedBy>
  <dcterms:modified xsi:type="dcterms:W3CDTF">2024-10-09T09:35:07Z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BBC01B85C2B447628ADA28D72ADC8ACD_12</vt:lpwstr>
  </property>
</Properties>
</file>